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color w:val="auto"/>
          <w:sz w:val="32"/>
          <w:szCs w:val="32"/>
          <w:highlight w:val="none"/>
        </w:rPr>
      </w:pPr>
      <w:bookmarkStart w:id="0" w:name="OLE_LINK1"/>
      <w:r>
        <w:rPr>
          <w:rFonts w:hint="eastAsia" w:ascii="宋体" w:hAnsi="宋体" w:eastAsia="宋体" w:cs="宋体"/>
          <w:b/>
          <w:color w:val="auto"/>
          <w:sz w:val="32"/>
          <w:szCs w:val="32"/>
          <w:highlight w:val="none"/>
        </w:rPr>
        <w:t xml:space="preserve">第二章    投标人须知  </w:t>
      </w:r>
    </w:p>
    <w:bookmarkEnd w:id="0"/>
    <w:p>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一、  说明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适用范围</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1.1本招标文件仅适用于投标邀请中所叙述项目的货物及服务政府采购。</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定义</w:t>
      </w:r>
    </w:p>
    <w:p>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2.1 “使用单位”系指本次采购项目的终端用户。</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2.2 “采购单位”系指组织本次招标活动的采购单位。</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2.3 “招标代理机构”系指具体实施本次招标采购项目活动的代理机构。</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2.4 “招标采购单位”系指组织本次招标活动的采购单位或招标代理机构。</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2.5 “投标人”系指购买了本招标文件，且已经提交或者准备提交本次投标文件的制造商或供货商。</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2.6 “货物”系指各种形态和种类的物品，包括原材料、燃料、设备、产品等。</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2.7 “服务”系指安装、调试、技术协助、校准、培训以及其他类似的义务。</w:t>
      </w:r>
    </w:p>
    <w:p>
      <w:pPr>
        <w:spacing w:line="360" w:lineRule="auto"/>
        <w:ind w:firstLine="48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2.8“项目”系以合同包为单位。</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 合格的投标人</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投标人具备《中华人民共和国政府采购法》第二十二条第一款规定的条件，应提供以下材料：</w:t>
      </w:r>
    </w:p>
    <w:p>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（1）法人或者其他组织的营业执照等证明文件，自然人的身份证明；</w:t>
      </w:r>
    </w:p>
    <w:p>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投标人是法人或者其他组织的应提供营业执照等证明文件，投标人是自然人的应提供有效的自然人身份证明。</w:t>
      </w:r>
    </w:p>
    <w:p>
      <w:pPr>
        <w:spacing w:line="360" w:lineRule="auto"/>
        <w:ind w:firstLine="241" w:firstLineChars="1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经审计的上一年度的年度财务报告（投标人上一年度的财务报告尚未完成编制且投标截止时间在每年1月1日至4月30日的，可提供上上年度经审计的年度财务报告。）及依法缴纳税收和社会保障资金的相关材料；若投标人因新注册成立等原因无法提供上述证明材料的，应在投标文件中提交如实的情况说明；预算金额500万元以下的政府采购项目基本资格条件采取“信用承诺制”，投标人提供资格承诺函(格式见附件)的即可参加采购活动，在投标文件中无需再提供财务状况报告、依法缴纳税收和社会保障资金的相关证明材料。投标人应当遵循诚实信用原则，不得作虚假承诺，投标人承诺不实的，属于提供虚假材料谋取中标、成交，应依法承担相应的法律责任。</w:t>
      </w:r>
    </w:p>
    <w:p>
      <w:pPr>
        <w:spacing w:line="360" w:lineRule="auto"/>
        <w:ind w:firstLine="472" w:firstLineChars="19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财务状况报告指“四表一注”，即资产负债表、利润表、现金流量表、所有者权益变动表及其附注，或基本开户银行出具的资信证明。</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依法缴纳税收和社会保障资金的证明材料主要是投标人税务登记证、缴纳增值税或营业税或企业所得税的凭据，缴纳社会保险的凭据（专用收据或社会保险缴纳清单）。依法免税或不需要缴纳社会保障资金的投标人，应提供相应文件证明其依法免税或不需要缴纳社会保障资金。根据《财政部关于印发&lt;小企业会计准则&gt;的通知》（财会〔2011〕17号）的规定，小企业的财务报表包括资产负债表、利润表、现金流量表及其附注，可以不含所有者权益变动表。</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（3）具备履行合同所必需的设备和专业技术能力的证明材料。</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（4）参加政府采购活动前3年内在经营活动中没有重大违法记录的书面声明；投标人自行对其有无行贿犯罪情形进行书面说明或书面承诺。</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（5）具备法律、行政法规规定的其他条件的证明材料。</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（6）投标人已提供加载有统一社会信用代码营业执照的，视为已提供税务登记证和组织机构代码证。</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3.2投标人应遵守并符合中国的有关法律、法规和规章的规定，同时其投标货物或服务也应符合中国的有关法律、法规和规章的规定。</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3.3一个投标人只能提交一个投标文件。如果投标人之间存在下列互为关联关系的情形之一的，不得同时参加本项目同一合同包投标：</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(1)法定代表人、单位负责人为同一人或夫妻关系的不同投标人；</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(2)存在直接控股、管理关系的不同投标人；</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(3)均为同一家母公司直接或间接持股50％及以上的被投资公司。</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3.5如本项目接受联合体投标，则两个或者两个以上投标人可以组成一个投标联合体，以一个投标人的身份投标。</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（1）以联合体形式参加投标的，联合体各方均应当符合合格的投标人相关规定。</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根据采购项目的特殊要求规定投标人特定条件的，联合体各方中至少应当有一方符合</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规定的特定条件，如联合体各方中没有一方符合特定条件的，该联合体投标无效。</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（3）项目如涉及资质要求，该部分内容应由联合体中具有该资质要求的投标人承担。联合体协议及签订的采购合同应包含此项内容。</w:t>
      </w:r>
    </w:p>
    <w:p>
      <w:pPr>
        <w:spacing w:line="360" w:lineRule="auto"/>
        <w:ind w:firstLine="361" w:firstLineChars="15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（4）联合体中有同类资质的投标人按照联合体分工承担相同工作的，应当按照资质等级较低的投标人确定资质等级。</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3.7投标代理人在同一个项目中只能接受一个投标人的委托参加投标。</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3.8投标人存在下列情形之一的，将被认定为串通投标行为并作无效投标处理：</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（1）投标人之间协商投标报价等投标文件的实质性内容；</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（2）投标人之间约定中标供应商；</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（3）投标人之间约定部分投标人放弃投标或者中标；</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（4）属于同一集团、协会、商会等组织成员的投标人按照该组织要求协同投标；</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（5）投标人之间为谋取中标或者排斥特定投标人而采取的其他联合行动；</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（6）不同投标人的投标文件由同一单位或者个人编制；</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（7）不同投标人委托同一单位或者个人办理投标事宜；</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（8）不同投标人的投标文件载明的项目管理成员或者联系人员为同一人；</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（9）不同投标人的投标文件异常一致或者投标报价呈规律性差异；</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（10）不同投标人的投标文件相互混装；</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（11）不同投标人的投标保证金从同一单位或者个人的账户转出。</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（12）不同投标人的投标文件错、漏之处一致或雷同，且不能合理解释的；</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（13）不同的投标人的法定代表人、委托代理人等由同一个单位缴纳社会保险的；</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（14）由同一人或分别由几个有</w:t>
      </w:r>
      <w:r>
        <w:rPr>
          <w:rFonts w:hint="eastAsia" w:ascii="宋体" w:hAnsi="宋体" w:eastAsia="宋体" w:cs="宋体"/>
          <w:b/>
          <w:color w:val="auto"/>
          <w:sz w:val="24"/>
          <w:szCs w:val="24"/>
          <w:highlight w:val="none"/>
        </w:rPr>
        <w:t>利害关系的人</w:t>
      </w:r>
      <w:r>
        <w:rPr>
          <w:rFonts w:hint="eastAsia" w:ascii="宋体" w:hAnsi="宋体" w:eastAsia="宋体" w:cs="宋体"/>
          <w:b/>
          <w:color w:val="auto"/>
          <w:sz w:val="24"/>
          <w:szCs w:val="24"/>
          <w:highlight w:val="none"/>
        </w:rPr>
        <w:t>携带两个以上（含两个）投标人的企业资料参与资格审查、领取招标资料，或代表两个以上（含两个）投标人参加招标答疑会、交纳或退还投标保证金、开标的；</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（15）有关法律、法规或规章规定的其他串通投标行为。</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投标费用</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投标人自行承担其参加投标所涉及的一切费用。</w:t>
      </w:r>
    </w:p>
    <w:p>
      <w:pPr>
        <w:spacing w:line="360" w:lineRule="auto"/>
        <w:ind w:firstLine="480" w:firstLineChars="200"/>
        <w:rPr>
          <w:rFonts w:hint="eastAsia" w:ascii="宋体" w:hAnsi="宋体" w:eastAsia="宋体" w:cs="宋体"/>
          <w:color w:val="auto"/>
          <w:sz w:val="24"/>
          <w:szCs w:val="24"/>
          <w:highlight w:val="none"/>
        </w:rPr>
      </w:pPr>
    </w:p>
    <w:p>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二、 招标文件</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招标文件的组成</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5.1招标文件用以阐明所需货物及服务招标程序、内容和合同主要条款。招标文件由下述部分组成：</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（1）投标邀请函</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（2）投标人须知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（3）招标内容及要求</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（4）合同主要条款</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（5）投标文件格式</w:t>
      </w:r>
    </w:p>
    <w:p>
      <w:pPr>
        <w:spacing w:line="360" w:lineRule="auto"/>
        <w:rPr>
          <w:rFonts w:hint="eastAsia" w:ascii="宋体" w:hAnsi="宋体" w:eastAsia="宋体" w:cs="宋体"/>
          <w:color w:val="auto"/>
          <w:sz w:val="24"/>
          <w:szCs w:val="24"/>
          <w:highlight w:val="none"/>
        </w:rPr>
      </w:pPr>
      <w:bookmarkStart w:id="1" w:name="_Toc430490612"/>
      <w:bookmarkStart w:id="2" w:name="_Toc430422413"/>
      <w:bookmarkStart w:id="3" w:name="_Toc430488851"/>
      <w:bookmarkStart w:id="4" w:name="_Toc430492126"/>
      <w:bookmarkStart w:id="5" w:name="_Toc430488644"/>
      <w:bookmarkStart w:id="6" w:name="_Toc430489119"/>
      <w:bookmarkStart w:id="7" w:name="_Toc415567497"/>
      <w:r>
        <w:rPr>
          <w:rFonts w:hint="eastAsia" w:ascii="宋体" w:hAnsi="宋体" w:eastAsia="宋体" w:cs="宋体"/>
          <w:color w:val="auto"/>
          <w:sz w:val="24"/>
          <w:szCs w:val="24"/>
          <w:highlight w:val="none"/>
        </w:rPr>
        <w:t>6.</w:t>
      </w:r>
      <w:bookmarkEnd w:id="1"/>
      <w:bookmarkEnd w:id="2"/>
      <w:bookmarkEnd w:id="3"/>
      <w:bookmarkEnd w:id="4"/>
      <w:bookmarkEnd w:id="5"/>
      <w:bookmarkEnd w:id="6"/>
      <w:bookmarkEnd w:id="7"/>
      <w:r>
        <w:rPr>
          <w:rFonts w:hint="eastAsia" w:ascii="宋体" w:hAnsi="宋体" w:eastAsia="宋体" w:cs="宋体"/>
          <w:color w:val="auto"/>
          <w:sz w:val="24"/>
          <w:szCs w:val="24"/>
          <w:highlight w:val="none"/>
        </w:rPr>
        <w:t xml:space="preserve"> 招标文件的澄清及</w:t>
      </w:r>
      <w:r>
        <w:rPr>
          <w:rFonts w:hint="eastAsia" w:ascii="宋体" w:hAnsi="宋体" w:eastAsia="宋体" w:cs="宋体"/>
          <w:bCs/>
          <w:color w:val="auto"/>
          <w:sz w:val="24"/>
          <w:szCs w:val="24"/>
          <w:highlight w:val="none"/>
        </w:rPr>
        <w:t>修改</w:t>
      </w:r>
    </w:p>
    <w:p>
      <w:pPr>
        <w:pStyle w:val="5"/>
        <w:snapToGrid w:val="0"/>
        <w:spacing w:line="360" w:lineRule="auto"/>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 投标人对招标文件如有疑点，可要求澄清。要求澄清应按投标邀请中载明的地址以书面形式（包括信函、传真、电子邮件，下同）通知</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将视情况在投标截止时间15个日历日（如至原定截止时间不足15个日历日，则需延长开标时间）前将书面答复发给所有投标人，并</w:t>
      </w:r>
      <w:r>
        <w:rPr>
          <w:rFonts w:hint="eastAsia" w:ascii="宋体" w:hAnsi="宋体" w:eastAsia="宋体" w:cs="宋体"/>
          <w:color w:val="auto"/>
          <w:sz w:val="24"/>
          <w:szCs w:val="24"/>
          <w:highlight w:val="none"/>
        </w:rPr>
        <w:t>在原采购信息发布媒体上发布更正公告</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该澄清内容为招标文件的组成部分。</w:t>
      </w:r>
    </w:p>
    <w:p>
      <w:pPr>
        <w:pStyle w:val="5"/>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6.2至投标截止时间15日（如至原定截止时间不足15个日历日，则需延长开标时间）前，</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可主动或依投标人要求澄清的问题修改招标文件，但应当</w:t>
      </w:r>
      <w:r>
        <w:rPr>
          <w:rFonts w:hint="eastAsia" w:ascii="宋体" w:hAnsi="宋体" w:eastAsia="宋体" w:cs="宋体"/>
          <w:color w:val="auto"/>
          <w:sz w:val="24"/>
          <w:szCs w:val="24"/>
          <w:highlight w:val="none"/>
        </w:rPr>
        <w:t>在原信息发布媒体上发布更正公告，</w:t>
      </w:r>
      <w:r>
        <w:rPr>
          <w:rFonts w:hint="eastAsia" w:ascii="宋体" w:hAnsi="宋体" w:eastAsia="宋体" w:cs="宋体"/>
          <w:bCs/>
          <w:color w:val="auto"/>
          <w:sz w:val="24"/>
          <w:szCs w:val="24"/>
          <w:highlight w:val="none"/>
        </w:rPr>
        <w:t>并以书面形式通知所有招标文件收受人，投标人在收到该通知后应当立即以传真形式予以确认。</w:t>
      </w:r>
      <w:r>
        <w:rPr>
          <w:rFonts w:hint="eastAsia" w:ascii="宋体" w:hAnsi="宋体" w:eastAsia="宋体" w:cs="宋体"/>
          <w:color w:val="auto"/>
          <w:sz w:val="24"/>
          <w:szCs w:val="24"/>
          <w:highlight w:val="none"/>
        </w:rPr>
        <w:t>该修改内容为招标文件的组成部分，对投标人具有约束力。但</w:t>
      </w:r>
      <w:r>
        <w:rPr>
          <w:rFonts w:hint="eastAsia" w:ascii="宋体" w:hAnsi="宋体" w:eastAsia="宋体" w:cs="宋体"/>
          <w:bCs/>
          <w:color w:val="auto"/>
          <w:sz w:val="24"/>
          <w:szCs w:val="24"/>
          <w:highlight w:val="none"/>
        </w:rPr>
        <w:t>本招标文件第6.3条规定的推迟投标截止时间和开标时间情形不受本条约束。</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6.3</w:t>
      </w:r>
      <w:r>
        <w:rPr>
          <w:rFonts w:hint="eastAsia" w:ascii="宋体" w:hAnsi="宋体" w:eastAsia="宋体" w:cs="宋体"/>
          <w:color w:val="auto"/>
          <w:sz w:val="24"/>
          <w:szCs w:val="24"/>
          <w:highlight w:val="none"/>
        </w:rPr>
        <w:t>为使投标人在准备投标文件时有合理的时间考虑投标文件的修改，招标</w:t>
      </w:r>
      <w:r>
        <w:rPr>
          <w:rFonts w:hint="eastAsia" w:ascii="宋体" w:hAnsi="宋体" w:eastAsia="宋体" w:cs="宋体"/>
          <w:bCs/>
          <w:color w:val="auto"/>
          <w:sz w:val="24"/>
          <w:szCs w:val="24"/>
          <w:highlight w:val="none"/>
        </w:rPr>
        <w:t>代理机构可酌情推迟投标截止时间和开标时间，但应当至少在投标截止时间3个日历日前将变更时间以书面形式通知所有招标文件收受人</w:t>
      </w:r>
      <w:r>
        <w:rPr>
          <w:rFonts w:hint="eastAsia" w:ascii="宋体" w:hAnsi="宋体" w:eastAsia="宋体" w:cs="宋体"/>
          <w:color w:val="auto"/>
          <w:sz w:val="24"/>
          <w:szCs w:val="24"/>
          <w:highlight w:val="none"/>
        </w:rPr>
        <w:t>，并在原采购信息发布媒体上发布更正公告。在此情况下，招标人和投标人受投标截止期制约的所有权利和义务均应延长至新的截止日期。</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7.项目暂停</w:t>
      </w:r>
    </w:p>
    <w:p>
      <w:pPr>
        <w:pStyle w:val="5"/>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7.1招标代理机构可以视采购具体情况，在投标截止时间前宣布项目暂停；并根据项目实际进度，另行通知项目重新启动。涉及招标文件修改的，应当在新确定的投标截止时间15个日历日前在原采购信息发布媒体上发布更正公告；仅涉及投标截止时间和开标时间更改的，应当至少在新确定的投标截止时间3个日历日前将变更时间在原采购信息发布媒体上发布变更公告。</w:t>
      </w:r>
    </w:p>
    <w:p>
      <w:pPr>
        <w:spacing w:line="360" w:lineRule="auto"/>
        <w:ind w:firstLine="480" w:firstLineChars="200"/>
        <w:rPr>
          <w:rFonts w:hint="eastAsia" w:ascii="宋体" w:hAnsi="宋体" w:eastAsia="宋体" w:cs="宋体"/>
          <w:color w:val="auto"/>
          <w:sz w:val="24"/>
          <w:szCs w:val="24"/>
          <w:highlight w:val="none"/>
        </w:rPr>
      </w:pPr>
    </w:p>
    <w:p>
      <w:pPr>
        <w:spacing w:line="360" w:lineRule="auto"/>
        <w:ind w:firstLine="480" w:firstLineChars="200"/>
        <w:rPr>
          <w:rFonts w:hint="eastAsia" w:ascii="宋体" w:hAnsi="宋体" w:eastAsia="宋体" w:cs="宋体"/>
          <w:color w:val="auto"/>
          <w:sz w:val="24"/>
          <w:szCs w:val="24"/>
          <w:highlight w:val="none"/>
        </w:rPr>
      </w:pPr>
    </w:p>
    <w:p>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三、  投标文件的编写</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要求</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投标文件语言</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9.1投标文件应用中文书写。投标文件中所附或所引用的文件不是中文时，应附中文译本。各种计量单位及符号应采用国际上统一使用的公制计量单位和符号。</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投标文件的组成</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10.1投标文件应包括下列部分：</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投标书</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供货范围清单</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技术规格和商务偏离表</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投标人资格证明文件</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投标人提交的其他资料</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投标保证金</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投标有效期</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特殊情况下招标代理机构可于投标有效期满之前书面要求投标人同意延长有效期，投标人应在招标代理机构规定的期限内以书面形式予以答复。投标人可以拒绝上述要求而其投标保证金可按规定予以退还。投标人答复不明确或者逾期未答复的，均视为拒绝上述要求。对于接受该要求的投标人，既不要求也不允许其修改投标文件，但将要求其相应延长投标保证金有效期，有关退还和不予退还投标保证金的规定在投标有效期延长期内继续有效。</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投标保证金</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投标保证金为投标文件的组成部分之一。</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投标人应在提交投标文件之前向招标代理机构</w:t>
      </w:r>
      <w:r>
        <w:rPr>
          <w:rFonts w:hint="eastAsia" w:ascii="宋体" w:hAnsi="宋体" w:eastAsia="宋体" w:cs="宋体"/>
          <w:color w:val="auto"/>
          <w:sz w:val="24"/>
          <w:szCs w:val="24"/>
          <w:highlight w:val="none"/>
          <w:u w:val="single"/>
        </w:rPr>
        <w:t>指定的政府采购保证金专户</w:t>
      </w:r>
      <w:r>
        <w:rPr>
          <w:rFonts w:hint="eastAsia" w:ascii="宋体" w:hAnsi="宋体" w:eastAsia="宋体" w:cs="宋体"/>
          <w:color w:val="auto"/>
          <w:sz w:val="24"/>
          <w:szCs w:val="24"/>
          <w:highlight w:val="none"/>
        </w:rPr>
        <w:t>缴交投标保证金。联合体投标的，可以由联合体中的一方或者共同提交投标保证金，以一方名义提交投标保证金的，对联合体各方均具有约束力。</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投标保证金用于保护本次招标活动免受投标人的行为而引起的风险。</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12.4投标保证金以转账、电汇两种形式提交（不收取现金、现金支票，不能用个人卡在银联支付系统转账，否则作未提交保证金处理），投标保证金应在投标截止时间前到账。</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12.6招标代理机构将在中标通知书发出之日起5个工作日内予以原额无息退还未中标供应商的投标保证金。</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12.7在中标供应商支付所有</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并签订合同后5个工作日内，招标代理机构对中标供应商的投标保证金予以原额无息退还。</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12.8投标保证金有效期应当与投标有效期一致。投标保证金产生的银行利息统一上缴市财政。</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 发生以下情形之一的，投标保证金将不予退还，</w:t>
      </w:r>
      <w:r>
        <w:rPr>
          <w:rFonts w:hint="eastAsia" w:ascii="宋体" w:hAnsi="宋体" w:eastAsia="宋体" w:cs="宋体"/>
          <w:color w:val="auto"/>
          <w:sz w:val="24"/>
          <w:szCs w:val="24"/>
          <w:highlight w:val="none"/>
          <w:u w:val="single"/>
        </w:rPr>
        <w:t>由招标代理机构上缴财政部门</w:t>
      </w:r>
      <w:r>
        <w:rPr>
          <w:rFonts w:hint="eastAsia" w:ascii="宋体" w:hAnsi="宋体" w:eastAsia="宋体" w:cs="宋体"/>
          <w:color w:val="auto"/>
          <w:sz w:val="24"/>
          <w:szCs w:val="24"/>
          <w:highlight w:val="none"/>
        </w:rPr>
        <w:t>：</w:t>
      </w:r>
    </w:p>
    <w:p>
      <w:pPr>
        <w:pStyle w:val="5"/>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投标人在投标截止时间后，投标有效期内撤回投标；</w:t>
      </w:r>
    </w:p>
    <w:p>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（2）除因不可抗力或招标文件认可的情形外，中标供应商未能按本须知第22条规定签订合同的；</w:t>
      </w:r>
    </w:p>
    <w:p>
      <w:pPr>
        <w:spacing w:line="360" w:lineRule="auto"/>
        <w:ind w:left="707" w:leftChars="228" w:hanging="228" w:hangingChars="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（3）中标供应商未按投标人须知前附表1规定缴纳</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（4）以他人名义投标或者以其他方式弄虚作假，骗取中标的；</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（5）投标人在响应文件中提供虚假材料的；</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（6）在禁止参加政府采购活动的处罚有效期内，仍参加政府采购活动的；</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（7）以不正当手段诋毁、排挤其他投标人的；</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（8）因本项目政府采购过程中的违法行为，受到行政处罚的；</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（9）与</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、其他投标人或者采购代理机构恶意串通的；</w:t>
      </w:r>
    </w:p>
    <w:p>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（10）法律、法规、规章及本招标文件中规定的其他没收投标保证金的情形。</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上述不予退还投标保证金的情形给招标采购单位造成损失的，相关责任人还应当承担赔偿责任。</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 投标文件的格式</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13.1投标人须编制由本须知第10条规定文件组成的投标文件正本一份，副本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份，正本用A4幅面纸张打印装订，副本可以用正本的完整复印件，并在封面标明“正本”、“副本”字样。正本与副本如有不一致，则以正本为准。</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13.2投标文件应由投标人的法定代表人或者其授权代表签字并加盖公章，如由后者签字，应提供“单位授权委托书”。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除非有另外的规定或许可，投标使用货币为人民币。</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13.4投标人应提交证明其拟供货物（服务）符合招标文件要求的技术响应文件，该文件可以是文字资料、图纸和数据，并须提供货物（服务）主要技术性能的详细描述。</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 投标文件的正本和全部副本均应使用不能擦去的墨料或墨水打印、书写或复印，并由法定代表人或其授权代表签署，盖投标人公章。</w:t>
      </w:r>
    </w:p>
    <w:p>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13.6全套投标文件应无涂改和行间插字，除非这些改动是根据招标代理机构的指示进行的，或者是为改正投标人造成的必须修改的错误而进行的。有改动时，修改处应当由法定代表人或授权代表签字证明或加盖投标人公章。 </w:t>
      </w:r>
    </w:p>
    <w:p>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p>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13.8所有资格证明文件复印件须加盖投标人公章。</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13.9 投标人应将上述文件按顺序装订成册、打印页码，并编列投标文件目录、资料清单，由于装订不规范或编排顺序混乱而导致投标文件被误读或漏读，该投标可能被视为无效投标或承担不利的评标结果。</w:t>
      </w:r>
    </w:p>
    <w:p>
      <w:pPr>
        <w:spacing w:line="360" w:lineRule="auto"/>
        <w:rPr>
          <w:rFonts w:hint="eastAsia" w:ascii="宋体" w:hAnsi="宋体" w:eastAsia="宋体" w:cs="宋体"/>
          <w:color w:val="auto"/>
          <w:sz w:val="24"/>
          <w:szCs w:val="24"/>
          <w:highlight w:val="none"/>
        </w:rPr>
      </w:pPr>
    </w:p>
    <w:p>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四、 投标文件的提交</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投标文件的密封、标记和递交</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14.1 投标人应将投标文件正本和全部副本分别用信封密封，并标明招标编号、投标人名称、投标货物名称及“正本”或“副本”字样。</w:t>
      </w:r>
      <w:r>
        <w:rPr>
          <w:rFonts w:hint="eastAsia" w:ascii="宋体" w:hAnsi="宋体" w:eastAsia="宋体" w:cs="宋体"/>
          <w:b/>
          <w:color w:val="auto"/>
          <w:sz w:val="24"/>
          <w:szCs w:val="24"/>
          <w:highlight w:val="none"/>
        </w:rPr>
        <w:t>投标文件未密封将导致其投标被拒绝。</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14.2 每一信封密封处应注明“于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之前（指招标邀请中规定的开标日期及时间）不准启封”的字样，并加盖投标人公章或由投标代表签字。</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14.3如果投标文件由邮局或专人送交，投标人应将投标文件按照本须知第14.1条至第14.2条的规定进行密封和标记后，按投标人须知前附表1注明的地址送至接收人。</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14.4如果未按上述规定进行密封和标记，招标代理机构将不承担由此造成的对投标文件的误投或提前拆封的责任。</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t xml:space="preserve"> 14.5投标文件应在投标邀请中规定的截止时间前送达，迟到的投标文件为无效投标文件, 将被拒收。</w:t>
      </w:r>
    </w:p>
    <w:p>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14.6投标人在投标截止时间前，可以对所提交的投标文件进行修改或者撤回，并书面通知招标代理机构。修改的内容和撤回通知应当按本须知要求签署、盖章、密封，并作为投标文件的组成部分。</w:t>
      </w:r>
    </w:p>
    <w:p>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p>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14.8投标截止时间结束后参加投标的投标人不足3家的，本次招标程序终止，除采购任务取消情形外，招标采购单位将依法重新组织招标或者采取其他方式采购。</w:t>
      </w:r>
    </w:p>
    <w:p>
      <w:pPr>
        <w:spacing w:line="360" w:lineRule="auto"/>
        <w:ind w:firstLine="480" w:firstLineChars="200"/>
        <w:rPr>
          <w:rFonts w:hint="eastAsia" w:ascii="宋体" w:hAnsi="宋体" w:eastAsia="宋体" w:cs="宋体"/>
          <w:color w:val="auto"/>
          <w:sz w:val="24"/>
          <w:szCs w:val="24"/>
          <w:highlight w:val="none"/>
        </w:rPr>
      </w:pPr>
    </w:p>
    <w:p>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五、投标文件的评估和比较</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15．开标、评标时间</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 在投标人须知前附表1中所规定的时间、地点开标（如有推迟情形，以推迟后的时间、地点为准）。</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15.2开标由招标代理机构主持，邀请</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、投标人和有关方面代表参加。投标人一般应派授权代表参加开标会，并办理签到手续。</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开标时，由监标人或者投标人共同推举的代表检查投标文件的密封情况。采购代理机构对符合密封要求的投标文件按照提交投标文件时间的先后顺序（或者逆顺序）当场逐一拆封，由开标会主持人按规定宣唱“开标一览表”等规定内容。招标代理机构对唱标内容作开标记录，由投标人代表及相关人员签字确认。</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16．评标委员会</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16.1招标代理机构根据招标货物（服务）的特点依法组建评标委员会。评标委员会由技术、经济、法律方面的专家和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代表组成。成员为5人以上单数组成，专家人数不能少于2/3。在开标后的适当时间里由评标委员会对投标文件进行审查、质疑、评估和比较，并做出授予合同的建议。</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投标文件的初审</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对所有投标人的评估，都采用相同的程序和标准。评议过程将严格按照招标文件的要求和条件进行。对不同文字文本投标文件的解释发生异议的，以中文文本为准。</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有关投标文件的审查、澄清、评估和比较以及推荐中标候选人的一切情况都不得透露给任一投标人或与上述评标工作无关的人员。</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投标人任何试图影响评委会对投标文件的评估、比较或者推荐候选人的行为，都将导致其投标按照无效投标处理，并被没收投标保证金。</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17.1招标采购单位依法对各投标文件进行资格性检查</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资格性检查。依据法律法规和招标文件的规定，在对投标文件详细评估之前，招标采购单位将依据投标人提交的投标文件按投标人须知前附表2所述的资格性要求对投标人进行资格审查, 以确定其是否具备投标资格。如果投标人不具备投标资格，不满足招标文件所规定的资格标准或提供资格证明文件不全的, 其投标将按照无效投标处理。合格投标人不足3家的，不得评标。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算术错误将按以下方法更正：</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（1）投标文件中开标一览表（报价表）内容与投标文件中相应内容不一致的，以开标一览表（报价表）为准；</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（2）大写金额和小写金额不一致的，以大写金额为准；</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（3）单价金额小数点或者百分比有明显错位的，以开标一览表的总价为准，并修改单价；</w:t>
      </w:r>
    </w:p>
    <w:p>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（4）总价金额与按单价汇总金额不一致的，以单价金额计算结果为准。</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同时出现两种以上不一致的，按照前款规定的顺序修正。对于投标文件中计算错误的内容，评标委员会应当以书面形式要求投标人作出必要的澄清、说明或者补正。</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17.3符合性检查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17.3.1评委会将对投标文件进行审查，以确定投标文件是否完整、有无计算上的错误、是否提交了投标保证金。</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 未按规定提交投标保证金的；</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(2)投标有效期不满足招标文件要求的；</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(3)投标内容与招标内容及要求有重大偏离或保留的；</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(4)投标人提交的是可选择的报价；</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(5)投标人未按招标文件要求对投标进行分项报价；</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(6)投标文件中提供虚假或失实资料的；</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(7)不符合招标文件中规定的其它实质性条款。 </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评标委员会决定投标的响应性只根据投标文件本身的内容，而不寻求其他的外部证据。</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18.投标文件的澄清</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对投标文件中含义不明确、同类问题表述不一致或者有明显文字和计算错误的内容，评标委员会可以书面形式要求投标人作出必要的澄清、说明或者纠正。投标人的澄清、说明或者补正应当在评标委员会规定的时间内以书面形式作出，由其法定代表人或者授权代表签字，并不得超出投标文件的范围或者改变投标文件的实质性内容。</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 比较与评价</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19.1评标委员会将按投标人须知前附表3所述评标方法与标准，对资格性检查和符合性检查合格的投标文件进行商务和技术评估，综合比较与评价。</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对漏（缺）报项的处理：招标文件中要求列入报价的费用（含配置、功能），漏（缺）报的视同已含在投标总价中。但在评标时取有效投标人该项最高报价加入漏（缺）报人的评标价进行评标。对多报项及赠送项的价格评标时不予核减也不予加分，全部进入评标价评议。</w:t>
      </w:r>
    </w:p>
    <w:p>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19.4评标委员会将按比较与评价最优在先原则, 排列评价顺序, 根据在投标人须知前附表3确定的中标候选人数量推荐出中标候选人。</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 在评标期间，若出现符合本须知规定的所有投标条件的投标人不足三家情形的，本次招标程序终止，除采购任务取消情形外，招标采购单位将依法重新组织招标或者采取其他方式采购。</w:t>
      </w:r>
    </w:p>
    <w:p>
      <w:pPr>
        <w:spacing w:line="360" w:lineRule="auto"/>
        <w:ind w:firstLine="480" w:firstLineChars="200"/>
        <w:rPr>
          <w:rFonts w:hint="eastAsia" w:ascii="宋体" w:hAnsi="宋体" w:eastAsia="宋体" w:cs="宋体"/>
          <w:color w:val="auto"/>
          <w:sz w:val="24"/>
          <w:szCs w:val="24"/>
          <w:highlight w:val="none"/>
        </w:rPr>
      </w:pPr>
    </w:p>
    <w:p>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六、  定标与签订合同</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20.定标准则</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20.1最低投标价不作为中标的保证。</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20.2投标人的投标文件符合招标文件要求，按招标文件确定评标方法、标准，经评委评审并推荐中标候选人。</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中标通知</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21.1评标结束后，评标结果经</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确认后，招标代理机构应自中标供应商确定之日起2个工作日内在《中国政府采购网》上对中标结果进行公告，同时招标代理机构向中标供应商发出中标通知书。中标通知书对</w:t>
      </w:r>
      <w:r>
        <w:rPr>
          <w:rFonts w:hint="eastAsia" w:ascii="宋体" w:hAnsi="宋体" w:cs="宋体"/>
          <w:color w:val="auto"/>
          <w:sz w:val="24"/>
          <w:szCs w:val="24"/>
          <w:highlight w:val="none"/>
        </w:rPr>
        <w:t>采购单位、使用单位</w:t>
      </w:r>
      <w:r>
        <w:rPr>
          <w:rFonts w:hint="eastAsia" w:ascii="宋体" w:hAnsi="宋体" w:eastAsia="宋体" w:cs="宋体"/>
          <w:color w:val="auto"/>
          <w:sz w:val="24"/>
          <w:szCs w:val="24"/>
          <w:highlight w:val="none"/>
        </w:rPr>
        <w:t>和中标供应商具有同等法律效力。中标通知书发出后，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 xml:space="preserve">改变中标结果，或者中标供应商放弃中标，应当承担相应的法律责任。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投标人对中标公告有异议的，应当在中标公告发布之日起7个工作日内，以书面形式向招标代理机构提出质疑，并附送有关证明材料。</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、招标代理机构应当在收到投标人书面质疑后7个工作日内，对质疑内容作出答复。提出质疑的投标人对</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、招标代理机构的答复不满意或者</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、招标代理机构未在规定时间内答复的，可以在答复期满后15个工作日内书面向财政部门提出投诉。</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在质疑处理过程中，招标代理机构和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有权要求被质疑人在规定时间内就质疑事项进行说明并提交相关材料（包括被质疑人投标文件中相关复印件的原件以及其他与质疑事项有关的文件等），被质疑人应当予以配合，否则将可能承担不利的处理后果。</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人对中标结果的质疑应本着诚实信用、谁质疑谁举证的原则，对质疑所提供材料的真实性、合法性负责，若质疑人存在下列情形之一的，属于虚假、恶意质疑，招标代理机构有权依法驳回质疑，并有权同时将质疑人虚假、恶意质疑之事在厦门招投标网上进行通报、上报上级主管部门：（1）一年内三次以上质疑均查无实据的；（2）捏造事实或者提供虚假质疑材料的。</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21.2招标代理机构应当在《中标通知书》发出的同时将落标通知书发送给未中标的其他投标人。</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21.3《中标通知书》将作为签订《政府采购合同》的依据。《政府采购合同》签订后，《中标通知书》成为合同的一部分。</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 招标代理机构应当在中标通知书发出后5个工作日内退还未中标供应商的投标保证金（含保函），在</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与中标供应商签订合同后5个工作日内，退还中标供应商的投标保证金。</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22.签订合同</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22.1中标供应商必须凭中标通知书原件按招标文件的规定签订合同，并最迟应于合同签订前缴交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，否则，招标代理机构有权在厦门招投标网上对中标供应商“不按规定缴交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的行为”进行公示。若自公示之日起3个工作日内，中标供应商仍未缴交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的，招标代理机构有权按每日1%计取违约金。</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中标供应商应当在《中标通知书》发出之日起30日内，根据招标文件确定的事项和中标供应商投标文件，参照本招标文件第四章《政府采购合同》文本签订合同。双方所签订的合同不得对招标文件和中标供应商投标文件作实质性修改。中标供应商无正当理由不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签订合同的，其投标保证金和</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将不予退还；情节严重的（如一年内累计两次及以上出现此类情形等），招标代理机构有权上报财政部门，并建议财政部门将其列入不良行为记录名单，在一至三年内禁止其参加政府采购活动并予以通报。</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逾期不与中标供应商签订合同的，按政府采购的有关规定处理。</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在合同签订前，为保证合同顺利履行，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有权要求中标供应商提供相关材料以便合同签订，中标供应商应当予以配合。</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招标文件、招标文件的修改文件、中标供应商的投标文件、补充或修改的文件及澄清或承诺文件等，均为双方签订《政府采购合同》的组成部分，并与合同一并作为本招标文件所列采购项目的互补性法律文件，与合同具有同等法律效力。</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22.4</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 xml:space="preserve">在合同履行中，需追加与合同标的相同的货物或者服务的，在不改变合同其他条款的前提下，可与中标供应商协商签订补充合同，但所有补充合同的采购金额不得超过原合同采购金额的10%。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22.5中标供应商因自身原因放弃中标项目、或不按照招标文件规定与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签订合同的、或因不可抗力或者自身原因不按合同履行的，</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可以与排位在中标供应商之后第一位的中标候选供应商签订《政府采购合同》，以此类推。排位在中标供应商之后第一位的中标候选供应商应同意与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按不高于其投标报价签订《政府采购合同》。</w:t>
      </w:r>
    </w:p>
    <w:p>
      <w:pPr>
        <w:pStyle w:val="5"/>
        <w:snapToGrid w:val="0"/>
        <w:spacing w:line="360" w:lineRule="auto"/>
        <w:ind w:firstLine="0"/>
        <w:rPr>
          <w:rFonts w:hint="eastAsia" w:ascii="宋体" w:hAnsi="宋体" w:eastAsia="宋体" w:cs="宋体"/>
          <w:b/>
          <w:bCs/>
          <w:color w:val="auto"/>
          <w:sz w:val="24"/>
          <w:szCs w:val="24"/>
          <w:highlight w:val="none"/>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pPr>
        <w:pStyle w:val="5"/>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第五章    投标文件格式</w:t>
      </w:r>
    </w:p>
    <w:p>
      <w:pPr>
        <w:pStyle w:val="17"/>
        <w:spacing w:line="360" w:lineRule="auto"/>
        <w:rPr>
          <w:rFonts w:hint="eastAsia" w:hAnsi="宋体" w:eastAsia="宋体" w:cs="宋体"/>
          <w:color w:val="auto"/>
          <w:sz w:val="24"/>
          <w:szCs w:val="24"/>
          <w:highlight w:val="none"/>
        </w:rPr>
      </w:pPr>
    </w:p>
    <w:p>
      <w:pPr>
        <w:pStyle w:val="17"/>
        <w:spacing w:line="360" w:lineRule="auto"/>
        <w:rPr>
          <w:rFonts w:hint="eastAsia" w:hAnsi="宋体" w:eastAsia="宋体" w:cs="宋体"/>
          <w:color w:val="auto"/>
          <w:sz w:val="24"/>
          <w:szCs w:val="24"/>
          <w:highlight w:val="none"/>
        </w:rPr>
      </w:pPr>
    </w:p>
    <w:p>
      <w:pPr>
        <w:pStyle w:val="17"/>
        <w:spacing w:line="360" w:lineRule="auto"/>
        <w:rPr>
          <w:rFonts w:hint="eastAsia" w:hAnsi="宋体" w:eastAsia="宋体" w:cs="宋体"/>
          <w:color w:val="auto"/>
          <w:sz w:val="24"/>
          <w:szCs w:val="24"/>
          <w:highlight w:val="none"/>
        </w:rPr>
      </w:pPr>
    </w:p>
    <w:p>
      <w:pPr>
        <w:pStyle w:val="17"/>
        <w:spacing w:line="360" w:lineRule="auto"/>
        <w:rPr>
          <w:rFonts w:hint="eastAsia" w:hAnsi="宋体" w:eastAsia="宋体" w:cs="宋体"/>
          <w:color w:val="auto"/>
          <w:sz w:val="24"/>
          <w:szCs w:val="24"/>
          <w:highlight w:val="none"/>
        </w:rPr>
      </w:pPr>
    </w:p>
    <w:p>
      <w:pPr>
        <w:pStyle w:val="17"/>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tbl>
      <w:tblPr>
        <w:tblStyle w:val="12"/>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pPr>
              <w:spacing w:line="360" w:lineRule="auto"/>
              <w:ind w:right="1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《投标文件格式》是投标人的部分投标文件格式和签订合同时所需文件的格式。投标人应参照这些格式文件制作投标文件，否则后果由投标人自行承担。</w:t>
            </w:r>
          </w:p>
        </w:tc>
      </w:tr>
    </w:tbl>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jc w:val="center"/>
        <w:rPr>
          <w:rFonts w:hint="eastAsia" w:ascii="宋体" w:hAnsi="宋体" w:eastAsia="宋体" w:cs="宋体"/>
          <w:b/>
          <w:bCs/>
          <w:color w:val="auto"/>
          <w:sz w:val="24"/>
          <w:szCs w:val="24"/>
          <w:highlight w:val="none"/>
        </w:rPr>
      </w:pPr>
    </w:p>
    <w:p>
      <w:pPr>
        <w:pStyle w:val="5"/>
        <w:snapToGrid w:val="0"/>
        <w:spacing w:line="360" w:lineRule="auto"/>
        <w:ind w:firstLine="0"/>
        <w:rPr>
          <w:rFonts w:hint="eastAsia" w:ascii="宋体" w:hAnsi="宋体" w:eastAsia="宋体" w:cs="宋体"/>
          <w:b/>
          <w:bCs/>
          <w:color w:val="auto"/>
          <w:sz w:val="24"/>
          <w:szCs w:val="24"/>
          <w:highlight w:val="none"/>
        </w:rPr>
      </w:pPr>
    </w:p>
    <w:p>
      <w:pPr>
        <w:spacing w:line="360" w:lineRule="auto"/>
        <w:jc w:val="center"/>
        <w:rPr>
          <w:rFonts w:hint="eastAsia" w:ascii="宋体" w:hAnsi="宋体" w:eastAsia="宋体" w:cs="宋体"/>
          <w:b/>
          <w:color w:val="auto"/>
          <w:sz w:val="24"/>
          <w:szCs w:val="24"/>
          <w:highlight w:val="none"/>
        </w:rPr>
      </w:pPr>
    </w:p>
    <w:p>
      <w:pPr>
        <w:spacing w:line="360" w:lineRule="auto"/>
        <w:jc w:val="center"/>
        <w:rPr>
          <w:rFonts w:hint="eastAsia" w:ascii="宋体" w:hAnsi="宋体" w:eastAsia="宋体" w:cs="宋体"/>
          <w:b/>
          <w:color w:val="auto"/>
          <w:sz w:val="24"/>
          <w:szCs w:val="24"/>
          <w:highlight w:val="none"/>
        </w:rPr>
      </w:pPr>
    </w:p>
    <w:p>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政府采购项目</w:t>
      </w:r>
    </w:p>
    <w:p>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  标  文  件</w:t>
      </w:r>
    </w:p>
    <w:p>
      <w:pPr>
        <w:spacing w:line="360" w:lineRule="auto"/>
        <w:rPr>
          <w:rFonts w:hint="eastAsia" w:ascii="宋体" w:hAnsi="宋体" w:eastAsia="宋体" w:cs="宋体"/>
          <w:b/>
          <w:color w:val="auto"/>
          <w:sz w:val="24"/>
          <w:szCs w:val="24"/>
          <w:highlight w:val="none"/>
        </w:rPr>
      </w:pPr>
    </w:p>
    <w:p>
      <w:pPr>
        <w:spacing w:line="360" w:lineRule="auto"/>
        <w:jc w:val="center"/>
        <w:rPr>
          <w:rFonts w:hint="eastAsia" w:ascii="宋体" w:hAnsi="宋体" w:eastAsia="宋体" w:cs="宋体"/>
          <w:b/>
          <w:color w:val="auto"/>
          <w:sz w:val="24"/>
          <w:szCs w:val="24"/>
          <w:highlight w:val="none"/>
        </w:rPr>
      </w:pPr>
    </w:p>
    <w:p>
      <w:pPr>
        <w:spacing w:line="360" w:lineRule="auto"/>
        <w:ind w:firstLine="1084" w:firstLineChars="300"/>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项 目 名 称：</w:t>
      </w:r>
      <w:r>
        <w:rPr>
          <w:rFonts w:hint="eastAsia" w:ascii="宋体" w:hAnsi="宋体" w:eastAsia="宋体" w:cs="宋体"/>
          <w:b/>
          <w:color w:val="auto"/>
          <w:sz w:val="36"/>
          <w:szCs w:val="36"/>
          <w:highlight w:val="none"/>
          <w:u w:val="single"/>
        </w:rPr>
        <w:t xml:space="preserve">               </w:t>
      </w:r>
    </w:p>
    <w:p>
      <w:pPr>
        <w:spacing w:line="360" w:lineRule="auto"/>
        <w:ind w:firstLine="1084" w:firstLineChars="300"/>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招 标 编 号：</w:t>
      </w:r>
      <w:r>
        <w:rPr>
          <w:rFonts w:hint="eastAsia" w:ascii="宋体" w:hAnsi="宋体" w:eastAsia="宋体" w:cs="宋体"/>
          <w:b/>
          <w:color w:val="auto"/>
          <w:sz w:val="36"/>
          <w:szCs w:val="36"/>
          <w:highlight w:val="none"/>
          <w:u w:val="single"/>
        </w:rPr>
        <w:t xml:space="preserve">               </w:t>
      </w:r>
    </w:p>
    <w:p>
      <w:pPr>
        <w:spacing w:line="360" w:lineRule="auto"/>
        <w:rPr>
          <w:rFonts w:hint="eastAsia" w:ascii="宋体" w:hAnsi="宋体" w:eastAsia="宋体" w:cs="宋体"/>
          <w:b/>
          <w:color w:val="auto"/>
          <w:sz w:val="36"/>
          <w:szCs w:val="36"/>
          <w:highlight w:val="none"/>
        </w:rPr>
      </w:pPr>
    </w:p>
    <w:p>
      <w:pPr>
        <w:spacing w:line="360" w:lineRule="auto"/>
        <w:rPr>
          <w:rFonts w:hint="eastAsia" w:ascii="宋体" w:hAnsi="宋体" w:eastAsia="宋体" w:cs="宋体"/>
          <w:b/>
          <w:color w:val="auto"/>
          <w:sz w:val="36"/>
          <w:szCs w:val="36"/>
          <w:highlight w:val="none"/>
        </w:rPr>
      </w:pPr>
    </w:p>
    <w:p>
      <w:pPr>
        <w:spacing w:line="360" w:lineRule="auto"/>
        <w:rPr>
          <w:rFonts w:hint="eastAsia" w:ascii="宋体" w:hAnsi="宋体" w:eastAsia="宋体" w:cs="宋体"/>
          <w:b/>
          <w:color w:val="auto"/>
          <w:sz w:val="36"/>
          <w:szCs w:val="36"/>
          <w:highlight w:val="none"/>
        </w:rPr>
      </w:pPr>
    </w:p>
    <w:p>
      <w:pPr>
        <w:spacing w:line="360" w:lineRule="auto"/>
        <w:rPr>
          <w:rFonts w:hint="eastAsia" w:ascii="宋体" w:hAnsi="宋体" w:eastAsia="宋体" w:cs="宋体"/>
          <w:b/>
          <w:color w:val="auto"/>
          <w:sz w:val="36"/>
          <w:szCs w:val="36"/>
          <w:highlight w:val="none"/>
        </w:rPr>
      </w:pPr>
    </w:p>
    <w:p>
      <w:pPr>
        <w:spacing w:line="360" w:lineRule="auto"/>
        <w:rPr>
          <w:rFonts w:hint="eastAsia" w:ascii="宋体" w:hAnsi="宋体" w:eastAsia="宋体" w:cs="宋体"/>
          <w:b/>
          <w:color w:val="auto"/>
          <w:sz w:val="36"/>
          <w:szCs w:val="36"/>
          <w:highlight w:val="none"/>
        </w:rPr>
      </w:pPr>
    </w:p>
    <w:p>
      <w:pPr>
        <w:spacing w:line="360" w:lineRule="auto"/>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 xml:space="preserve">       投标人名称 ：</w:t>
      </w:r>
      <w:r>
        <w:rPr>
          <w:rFonts w:hint="eastAsia" w:ascii="宋体" w:hAnsi="宋体" w:eastAsia="宋体" w:cs="宋体"/>
          <w:b/>
          <w:color w:val="auto"/>
          <w:sz w:val="36"/>
          <w:szCs w:val="36"/>
          <w:highlight w:val="none"/>
          <w:u w:val="single"/>
        </w:rPr>
        <w:t xml:space="preserve">               </w:t>
      </w:r>
    </w:p>
    <w:p>
      <w:pPr>
        <w:spacing w:line="360" w:lineRule="auto"/>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 xml:space="preserve">       日      期 ：</w:t>
      </w:r>
      <w:r>
        <w:rPr>
          <w:rFonts w:hint="eastAsia" w:ascii="宋体" w:hAnsi="宋体" w:eastAsia="宋体" w:cs="宋体"/>
          <w:b/>
          <w:color w:val="auto"/>
          <w:sz w:val="36"/>
          <w:szCs w:val="36"/>
          <w:highlight w:val="none"/>
          <w:u w:val="single"/>
        </w:rPr>
        <w:t xml:space="preserve">               </w:t>
      </w:r>
    </w:p>
    <w:p>
      <w:pPr>
        <w:pStyle w:val="18"/>
        <w:spacing w:line="360" w:lineRule="auto"/>
        <w:jc w:val="left"/>
        <w:rPr>
          <w:rFonts w:hint="eastAsia" w:hAnsi="宋体" w:eastAsia="宋体" w:cs="宋体"/>
          <w:b/>
          <w:color w:val="auto"/>
          <w:sz w:val="24"/>
          <w:szCs w:val="24"/>
          <w:highlight w:val="none"/>
        </w:rPr>
      </w:pPr>
    </w:p>
    <w:p>
      <w:pPr>
        <w:pStyle w:val="18"/>
        <w:spacing w:line="360" w:lineRule="auto"/>
        <w:jc w:val="left"/>
        <w:rPr>
          <w:rFonts w:hint="eastAsia" w:hAnsi="宋体" w:eastAsia="宋体" w:cs="宋体"/>
          <w:b/>
          <w:color w:val="auto"/>
          <w:sz w:val="24"/>
          <w:szCs w:val="24"/>
          <w:highlight w:val="none"/>
        </w:rPr>
      </w:pPr>
    </w:p>
    <w:p>
      <w:pPr>
        <w:pStyle w:val="18"/>
        <w:spacing w:line="360" w:lineRule="auto"/>
        <w:jc w:val="left"/>
        <w:rPr>
          <w:rFonts w:hint="eastAsia" w:hAnsi="宋体" w:eastAsia="宋体" w:cs="宋体"/>
          <w:b/>
          <w:color w:val="auto"/>
          <w:sz w:val="24"/>
          <w:szCs w:val="24"/>
          <w:highlight w:val="none"/>
        </w:rPr>
      </w:pPr>
    </w:p>
    <w:p>
      <w:pPr>
        <w:pStyle w:val="5"/>
        <w:snapToGrid w:val="0"/>
        <w:spacing w:line="360" w:lineRule="auto"/>
        <w:ind w:firstLine="660" w:firstLineChars="275"/>
        <w:rPr>
          <w:rFonts w:hint="eastAsia" w:ascii="宋体" w:hAnsi="宋体" w:eastAsia="宋体" w:cs="宋体"/>
          <w:color w:val="auto"/>
          <w:sz w:val="24"/>
          <w:szCs w:val="24"/>
          <w:highlight w:val="none"/>
        </w:rPr>
      </w:pPr>
    </w:p>
    <w:p>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pPr>
        <w:pStyle w:val="5"/>
        <w:snapToGrid w:val="0"/>
        <w:spacing w:line="360" w:lineRule="auto"/>
        <w:ind w:firstLine="883" w:firstLineChars="275"/>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目    录</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 标 书</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 供货范围清单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技术规格和商务响应表</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投标人的资格证明文件</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资格声明</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授权函</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投标人的资格声明</w:t>
      </w:r>
    </w:p>
    <w:p>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单位授权书</w:t>
      </w:r>
    </w:p>
    <w:p>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单位营业执照、税务登记证</w:t>
      </w:r>
    </w:p>
    <w:p>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w:t>
      </w:r>
      <w:r>
        <w:rPr>
          <w:rFonts w:hint="eastAsia" w:ascii="宋体" w:hAnsi="宋体" w:eastAsia="宋体" w:cs="宋体"/>
          <w:bCs/>
          <w:color w:val="auto"/>
          <w:sz w:val="24"/>
          <w:szCs w:val="24"/>
          <w:highlight w:val="none"/>
        </w:rPr>
        <w:t>提</w:t>
      </w:r>
      <w:r>
        <w:rPr>
          <w:rFonts w:hint="eastAsia" w:ascii="宋体" w:hAnsi="宋体" w:eastAsia="宋体" w:cs="宋体"/>
          <w:color w:val="auto"/>
          <w:sz w:val="24"/>
          <w:szCs w:val="24"/>
          <w:highlight w:val="none"/>
        </w:rPr>
        <w:t>交的其它资料</w:t>
      </w:r>
    </w:p>
    <w:p>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pPr>
        <w:spacing w:line="360" w:lineRule="auto"/>
        <w:rPr>
          <w:rFonts w:hint="eastAsia" w:ascii="宋体" w:hAnsi="宋体" w:eastAsia="宋体" w:cs="宋体"/>
          <w:b/>
          <w:color w:val="auto"/>
          <w:sz w:val="24"/>
          <w:szCs w:val="24"/>
          <w:highlight w:val="none"/>
        </w:rPr>
      </w:pPr>
    </w:p>
    <w:p>
      <w:pPr>
        <w:spacing w:line="360" w:lineRule="auto"/>
        <w:rPr>
          <w:rFonts w:hint="eastAsia" w:ascii="宋体" w:hAnsi="宋体" w:eastAsia="宋体" w:cs="宋体"/>
          <w:b/>
          <w:color w:val="auto"/>
          <w:sz w:val="24"/>
          <w:szCs w:val="24"/>
          <w:highlight w:val="none"/>
        </w:rPr>
      </w:pPr>
    </w:p>
    <w:p>
      <w:pPr>
        <w:pStyle w:val="18"/>
        <w:spacing w:line="360" w:lineRule="auto"/>
        <w:jc w:val="left"/>
        <w:rPr>
          <w:rFonts w:hint="eastAsia" w:hAnsi="宋体" w:eastAsia="宋体" w:cs="宋体"/>
          <w:color w:val="auto"/>
          <w:sz w:val="24"/>
          <w:szCs w:val="24"/>
          <w:highlight w:val="none"/>
        </w:rPr>
      </w:pPr>
    </w:p>
    <w:p>
      <w:pPr>
        <w:pStyle w:val="18"/>
        <w:spacing w:line="360" w:lineRule="auto"/>
        <w:jc w:val="left"/>
        <w:rPr>
          <w:rFonts w:hint="eastAsia" w:hAnsi="宋体" w:eastAsia="宋体" w:cs="宋体"/>
          <w:color w:val="auto"/>
          <w:sz w:val="24"/>
          <w:szCs w:val="24"/>
          <w:highlight w:val="none"/>
        </w:rPr>
      </w:pPr>
    </w:p>
    <w:p>
      <w:pPr>
        <w:pStyle w:val="18"/>
        <w:spacing w:line="360" w:lineRule="auto"/>
        <w:jc w:val="left"/>
        <w:rPr>
          <w:rFonts w:hint="eastAsia" w:hAnsi="宋体" w:eastAsia="宋体" w:cs="宋体"/>
          <w:color w:val="auto"/>
          <w:sz w:val="24"/>
          <w:szCs w:val="24"/>
          <w:highlight w:val="none"/>
        </w:rPr>
      </w:pPr>
    </w:p>
    <w:p>
      <w:pPr>
        <w:pStyle w:val="18"/>
        <w:spacing w:line="360" w:lineRule="auto"/>
        <w:jc w:val="left"/>
        <w:rPr>
          <w:rFonts w:hint="eastAsia" w:hAnsi="宋体" w:eastAsia="宋体" w:cs="宋体"/>
          <w:color w:val="auto"/>
          <w:sz w:val="24"/>
          <w:szCs w:val="24"/>
          <w:highlight w:val="none"/>
        </w:rPr>
      </w:pPr>
    </w:p>
    <w:p>
      <w:pPr>
        <w:pStyle w:val="18"/>
        <w:spacing w:line="360" w:lineRule="auto"/>
        <w:jc w:val="left"/>
        <w:rPr>
          <w:rFonts w:hint="eastAsia" w:hAnsi="宋体" w:eastAsia="宋体" w:cs="宋体"/>
          <w:color w:val="auto"/>
          <w:sz w:val="24"/>
          <w:szCs w:val="24"/>
          <w:highlight w:val="none"/>
        </w:rPr>
      </w:pPr>
    </w:p>
    <w:p>
      <w:pPr>
        <w:pStyle w:val="18"/>
        <w:spacing w:line="360" w:lineRule="auto"/>
        <w:jc w:val="left"/>
        <w:rPr>
          <w:rFonts w:hint="eastAsia" w:hAnsi="宋体" w:eastAsia="宋体" w:cs="宋体"/>
          <w:color w:val="auto"/>
          <w:sz w:val="24"/>
          <w:szCs w:val="24"/>
          <w:highlight w:val="none"/>
        </w:rPr>
      </w:pPr>
    </w:p>
    <w:p>
      <w:pPr>
        <w:pStyle w:val="18"/>
        <w:spacing w:line="360" w:lineRule="auto"/>
        <w:jc w:val="left"/>
        <w:rPr>
          <w:rFonts w:hint="eastAsia" w:hAnsi="宋体" w:eastAsia="宋体" w:cs="宋体"/>
          <w:color w:val="auto"/>
          <w:sz w:val="24"/>
          <w:szCs w:val="24"/>
          <w:highlight w:val="none"/>
        </w:rPr>
      </w:pPr>
    </w:p>
    <w:p>
      <w:pPr>
        <w:pStyle w:val="18"/>
        <w:spacing w:line="360" w:lineRule="auto"/>
        <w:jc w:val="center"/>
        <w:rPr>
          <w:rFonts w:hint="eastAsia" w:hAnsi="宋体" w:eastAsia="宋体" w:cs="宋体"/>
          <w:b/>
          <w:color w:val="auto"/>
          <w:sz w:val="24"/>
          <w:szCs w:val="24"/>
          <w:highlight w:val="none"/>
        </w:rPr>
      </w:pPr>
    </w:p>
    <w:p>
      <w:pPr>
        <w:pStyle w:val="18"/>
        <w:spacing w:line="360" w:lineRule="auto"/>
        <w:jc w:val="center"/>
        <w:rPr>
          <w:rFonts w:hint="eastAsia" w:hAnsi="宋体" w:eastAsia="宋体" w:cs="宋体"/>
          <w:b/>
          <w:color w:val="auto"/>
          <w:sz w:val="24"/>
          <w:szCs w:val="24"/>
          <w:highlight w:val="none"/>
        </w:rPr>
      </w:pPr>
    </w:p>
    <w:p>
      <w:pPr>
        <w:pStyle w:val="18"/>
        <w:spacing w:line="360" w:lineRule="auto"/>
        <w:jc w:val="center"/>
        <w:rPr>
          <w:rFonts w:hint="eastAsia" w:hAnsi="宋体" w:eastAsia="宋体" w:cs="宋体"/>
          <w:b/>
          <w:color w:val="auto"/>
          <w:sz w:val="24"/>
          <w:szCs w:val="24"/>
          <w:highlight w:val="none"/>
        </w:rPr>
      </w:pPr>
    </w:p>
    <w:p>
      <w:pPr>
        <w:pStyle w:val="18"/>
        <w:spacing w:line="360" w:lineRule="auto"/>
        <w:jc w:val="center"/>
        <w:rPr>
          <w:rFonts w:hint="eastAsia" w:hAnsi="宋体" w:eastAsia="宋体" w:cs="宋体"/>
          <w:b/>
          <w:color w:val="auto"/>
          <w:sz w:val="24"/>
          <w:szCs w:val="24"/>
          <w:highlight w:val="none"/>
        </w:rPr>
      </w:pPr>
    </w:p>
    <w:p>
      <w:pPr>
        <w:pStyle w:val="18"/>
        <w:spacing w:line="360" w:lineRule="auto"/>
        <w:jc w:val="center"/>
        <w:rPr>
          <w:rFonts w:hint="eastAsia" w:hAnsi="宋体" w:eastAsia="宋体" w:cs="宋体"/>
          <w:b/>
          <w:color w:val="auto"/>
          <w:sz w:val="24"/>
          <w:szCs w:val="24"/>
          <w:highlight w:val="none"/>
        </w:rPr>
      </w:pPr>
    </w:p>
    <w:p>
      <w:pPr>
        <w:pStyle w:val="18"/>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投 标 书</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根据贵方为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项目的投标邀请（招标编号: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），本签字代表</w:t>
      </w:r>
      <w:r>
        <w:rPr>
          <w:rFonts w:hint="eastAsia" w:ascii="宋体" w:hAnsi="宋体" w:eastAsia="宋体" w:cs="宋体"/>
          <w:color w:val="auto"/>
          <w:sz w:val="24"/>
          <w:szCs w:val="24"/>
          <w:highlight w:val="none"/>
          <w:u w:val="single"/>
        </w:rPr>
        <w:t>（全名、职务）</w:t>
      </w:r>
      <w:r>
        <w:rPr>
          <w:rFonts w:hint="eastAsia" w:ascii="宋体" w:hAnsi="宋体" w:eastAsia="宋体" w:cs="宋体"/>
          <w:color w:val="auto"/>
          <w:sz w:val="24"/>
          <w:szCs w:val="24"/>
          <w:highlight w:val="none"/>
        </w:rPr>
        <w:t>正式授权并代表投标人</w:t>
      </w:r>
      <w:r>
        <w:rPr>
          <w:rFonts w:hint="eastAsia" w:ascii="宋体" w:hAnsi="宋体" w:eastAsia="宋体" w:cs="宋体"/>
          <w:color w:val="auto"/>
          <w:sz w:val="24"/>
          <w:szCs w:val="24"/>
          <w:highlight w:val="none"/>
          <w:u w:val="single"/>
        </w:rPr>
        <w:t>（投标人名称、地址）</w:t>
      </w:r>
      <w:r>
        <w:rPr>
          <w:rFonts w:hint="eastAsia" w:ascii="宋体" w:hAnsi="宋体" w:eastAsia="宋体" w:cs="宋体"/>
          <w:color w:val="auto"/>
          <w:sz w:val="24"/>
          <w:szCs w:val="24"/>
          <w:highlight w:val="none"/>
        </w:rPr>
        <w:t>提交下述文件正本一份和副本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开标一览表</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投标分项报价表</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货物说明一览表</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 供货范围清单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技术规格和商务响应表</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 投标人资格证明文件</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 投标人提交的其它资料</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(8)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(9) 以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方式提供的金额为人民币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元的投标保证金。</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据此函，签字代表宣布同意如下：</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1.所附详细报价表中规定的应提供和交付的货物及服务报价总价（国内现场交货价）为人民币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，即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（中文表述）。</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2.投标人已详细审查全部招标文件，包括修改文件（如有的话）和有关附件，将自行承担因对全部招标文件理解不正确或误解而产生的相应后果。</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3.投标人保证遵守招标文件的全部规定，投标人所提交的材料中所含的信息均为真实、准确、完整，且不具有任何误导性。</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4.投标人将按招标文件的规定履行合同责任和义务。</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5.本投标文件自开标日起投标有效期为：在招标文件投标人须知前附表1第3项所规定的期限内保持有效。</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6.如果发生招标文件第二章投标人须知第12条所述情况，则同意招标代理机构不予退还投标保证金。</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7.投标人同意按照招标代理机构要求提供与其投标有关的一切数据或资料，完全理解贵方不一定要接受最低的报价或收到的任何投标。</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与本投标有关的一切正式往来通讯请寄：</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电话：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 </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 </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widowControl/>
        <w:spacing w:line="360" w:lineRule="auto"/>
        <w:jc w:val="left"/>
        <w:rPr>
          <w:rFonts w:hint="eastAsia" w:ascii="宋体" w:hAnsi="宋体" w:eastAsia="宋体" w:cs="宋体"/>
          <w:color w:val="auto"/>
          <w:sz w:val="24"/>
          <w:szCs w:val="24"/>
          <w:highlight w:val="none"/>
        </w:rPr>
        <w:sectPr>
          <w:headerReference r:id="rId5" w:type="default"/>
          <w:footerReference r:id="rId6" w:type="default"/>
          <w:pgSz w:w="11907" w:h="16840"/>
          <w:pgMar w:top="1361" w:right="1752" w:bottom="1440" w:left="1752" w:header="851" w:footer="992" w:gutter="0"/>
          <w:pgNumType w:start="1"/>
          <w:cols w:space="720" w:num="1"/>
        </w:sectPr>
      </w:pPr>
    </w:p>
    <w:p>
      <w:pPr>
        <w:pStyle w:val="18"/>
        <w:spacing w:line="360" w:lineRule="auto"/>
        <w:jc w:val="left"/>
        <w:rPr>
          <w:rFonts w:hint="eastAsia" w:hAnsi="宋体" w:eastAsia="宋体" w:cs="宋体"/>
          <w:b/>
          <w:color w:val="auto"/>
          <w:sz w:val="32"/>
          <w:szCs w:val="32"/>
          <w:highlight w:val="none"/>
        </w:rPr>
      </w:pPr>
      <w:r>
        <w:rPr>
          <w:rFonts w:hint="eastAsia" w:hAnsi="宋体" w:eastAsia="宋体" w:cs="宋体"/>
          <w:color w:val="auto"/>
          <w:sz w:val="32"/>
          <w:szCs w:val="32"/>
          <w:highlight w:val="none"/>
        </w:rPr>
        <w:t xml:space="preserve">                                                 </w:t>
      </w:r>
      <w:r>
        <w:rPr>
          <w:rFonts w:hint="eastAsia" w:hAnsi="宋体" w:eastAsia="宋体" w:cs="宋体"/>
          <w:b/>
          <w:color w:val="auto"/>
          <w:sz w:val="32"/>
          <w:szCs w:val="32"/>
          <w:highlight w:val="none"/>
        </w:rPr>
        <w:t>开标一览表</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                              招标编号∶                      货币单位：</w:t>
      </w:r>
    </w:p>
    <w:tbl>
      <w:tblPr>
        <w:tblStyle w:val="12"/>
        <w:tblW w:w="1490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108"/>
        <w:gridCol w:w="1312"/>
        <w:gridCol w:w="768"/>
        <w:gridCol w:w="998"/>
        <w:gridCol w:w="1918"/>
        <w:gridCol w:w="1557"/>
        <w:gridCol w:w="1072"/>
        <w:gridCol w:w="1260"/>
        <w:gridCol w:w="1260"/>
        <w:gridCol w:w="1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合同包</w:t>
            </w:r>
          </w:p>
        </w:tc>
        <w:tc>
          <w:tcPr>
            <w:tcW w:w="2108" w:type="dxa"/>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货物（服务）名称</w:t>
            </w:r>
          </w:p>
        </w:tc>
        <w:tc>
          <w:tcPr>
            <w:tcW w:w="1312" w:type="dxa"/>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型号规格</w:t>
            </w:r>
          </w:p>
        </w:tc>
        <w:tc>
          <w:tcPr>
            <w:tcW w:w="768" w:type="dxa"/>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数量</w:t>
            </w:r>
          </w:p>
        </w:tc>
        <w:tc>
          <w:tcPr>
            <w:tcW w:w="998" w:type="dxa"/>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制造商</w:t>
            </w:r>
          </w:p>
        </w:tc>
        <w:tc>
          <w:tcPr>
            <w:tcW w:w="1918" w:type="dxa"/>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w:t>
            </w:r>
            <w:r>
              <w:rPr>
                <w:rFonts w:hint="eastAsia" w:ascii="宋体" w:hAnsi="宋体" w:eastAsia="宋体" w:cs="宋体"/>
                <w:bCs/>
                <w:color w:val="auto"/>
                <w:sz w:val="24"/>
                <w:szCs w:val="24"/>
                <w:highlight w:val="none"/>
                <w:lang w:val="en-US" w:eastAsia="zh-CN"/>
              </w:rPr>
              <w:t>报价</w:t>
            </w:r>
            <w:r>
              <w:rPr>
                <w:rFonts w:hint="eastAsia" w:ascii="宋体" w:hAnsi="宋体" w:eastAsia="宋体" w:cs="宋体"/>
                <w:bCs/>
                <w:color w:val="auto"/>
                <w:sz w:val="24"/>
                <w:szCs w:val="24"/>
                <w:highlight w:val="none"/>
              </w:rPr>
              <w:t>（元）(现场交货价)</w:t>
            </w:r>
          </w:p>
        </w:tc>
        <w:tc>
          <w:tcPr>
            <w:tcW w:w="1557" w:type="dxa"/>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投标保证金</w:t>
            </w:r>
          </w:p>
        </w:tc>
        <w:tc>
          <w:tcPr>
            <w:tcW w:w="1072" w:type="dxa"/>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交付使用期</w:t>
            </w:r>
          </w:p>
        </w:tc>
        <w:tc>
          <w:tcPr>
            <w:tcW w:w="1260" w:type="dxa"/>
            <w:noWrap w:val="0"/>
            <w:vAlign w:val="top"/>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是否联合体投标</w:t>
            </w:r>
          </w:p>
        </w:tc>
        <w:tc>
          <w:tcPr>
            <w:tcW w:w="1260" w:type="dxa"/>
            <w:noWrap w:val="0"/>
            <w:vAlign w:val="top"/>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联合体组成单位</w:t>
            </w:r>
          </w:p>
        </w:tc>
        <w:tc>
          <w:tcPr>
            <w:tcW w:w="1027" w:type="dxa"/>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pPr>
              <w:spacing w:line="360" w:lineRule="auto"/>
              <w:jc w:val="center"/>
              <w:rPr>
                <w:rFonts w:hint="eastAsia" w:ascii="宋体" w:hAnsi="宋体" w:eastAsia="宋体" w:cs="宋体"/>
                <w:color w:val="auto"/>
                <w:sz w:val="24"/>
                <w:szCs w:val="24"/>
                <w:highlight w:val="none"/>
              </w:rPr>
            </w:pPr>
          </w:p>
        </w:tc>
        <w:tc>
          <w:tcPr>
            <w:tcW w:w="998" w:type="dxa"/>
            <w:noWrap w:val="0"/>
            <w:vAlign w:val="top"/>
          </w:tcPr>
          <w:p>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pPr>
              <w:spacing w:line="360" w:lineRule="auto"/>
              <w:jc w:val="center"/>
              <w:rPr>
                <w:rFonts w:hint="eastAsia" w:ascii="宋体" w:hAnsi="宋体" w:eastAsia="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pPr>
              <w:spacing w:line="360" w:lineRule="auto"/>
              <w:jc w:val="center"/>
              <w:rPr>
                <w:rFonts w:hint="eastAsia" w:ascii="宋体" w:hAnsi="宋体" w:eastAsia="宋体" w:cs="宋体"/>
                <w:color w:val="auto"/>
                <w:sz w:val="24"/>
                <w:szCs w:val="24"/>
                <w:highlight w:val="none"/>
              </w:rPr>
            </w:pPr>
          </w:p>
        </w:tc>
        <w:tc>
          <w:tcPr>
            <w:tcW w:w="998" w:type="dxa"/>
            <w:noWrap w:val="0"/>
            <w:vAlign w:val="top"/>
          </w:tcPr>
          <w:p>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pPr>
              <w:spacing w:line="360" w:lineRule="auto"/>
              <w:jc w:val="center"/>
              <w:rPr>
                <w:rFonts w:hint="eastAsia" w:ascii="宋体" w:hAnsi="宋体" w:eastAsia="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pPr>
              <w:spacing w:line="360" w:lineRule="auto"/>
              <w:jc w:val="center"/>
              <w:rPr>
                <w:rFonts w:hint="eastAsia" w:ascii="宋体" w:hAnsi="宋体" w:eastAsia="宋体" w:cs="宋体"/>
                <w:color w:val="auto"/>
                <w:sz w:val="24"/>
                <w:szCs w:val="24"/>
                <w:highlight w:val="none"/>
              </w:rPr>
            </w:pPr>
          </w:p>
        </w:tc>
        <w:tc>
          <w:tcPr>
            <w:tcW w:w="998" w:type="dxa"/>
            <w:noWrap w:val="0"/>
            <w:vAlign w:val="top"/>
          </w:tcPr>
          <w:p>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pPr>
              <w:spacing w:line="360" w:lineRule="auto"/>
              <w:jc w:val="center"/>
              <w:rPr>
                <w:rFonts w:hint="eastAsia" w:ascii="宋体" w:hAnsi="宋体" w:eastAsia="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投标总价</w:t>
            </w:r>
          </w:p>
        </w:tc>
        <w:tc>
          <w:tcPr>
            <w:tcW w:w="13280" w:type="dxa"/>
            <w:gridSpan w:val="10"/>
            <w:noWrap w:val="0"/>
            <w:vAlign w:val="center"/>
          </w:tcPr>
          <w:p>
            <w:pPr>
              <w:spacing w:line="360" w:lineRule="auto"/>
              <w:jc w:val="center"/>
              <w:rPr>
                <w:rFonts w:hint="eastAsia" w:ascii="宋体" w:hAnsi="宋体" w:eastAsia="宋体" w:cs="宋体"/>
                <w:bCs/>
                <w:color w:val="auto"/>
                <w:sz w:val="24"/>
                <w:szCs w:val="24"/>
                <w:highlight w:val="none"/>
              </w:rPr>
            </w:pPr>
          </w:p>
        </w:tc>
      </w:tr>
    </w:tbl>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注：1、投标人如果为联合体投标，则应在开标一览表中注明是否为联合体投标、联合体的组成单位，否则将导致废标。</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2、开标一览表以合同包为单位，每个开标一览表中只能体现一个投标总价（多个合同包请按照要求提供每个合同包的开标一览表）。</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3、开标一览表中投标总价即为本项目（合同包）的投标总报价。</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4、此表原件应与投标保证金缴交凭证一同单独密封。</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5、详细报价清单应另纸详列，且标明所报各种货物的数量、品牌和金额。           投标人代表签字</w:t>
      </w:r>
      <w:r>
        <w:rPr>
          <w:rFonts w:hint="eastAsia" w:ascii="宋体" w:hAnsi="宋体" w:eastAsia="宋体" w:cs="宋体"/>
          <w:color w:val="auto"/>
          <w:sz w:val="24"/>
          <w:szCs w:val="24"/>
          <w:highlight w:val="none"/>
          <w:u w:val="single"/>
        </w:rPr>
        <w:t xml:space="preserve">：               </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6、当一个合同包有多个品目号时，投标人应计算出该合同包的合计价。</w:t>
      </w:r>
    </w:p>
    <w:p>
      <w:pPr>
        <w:widowControl/>
        <w:spacing w:line="360" w:lineRule="auto"/>
        <w:jc w:val="left"/>
        <w:rPr>
          <w:rFonts w:hint="eastAsia" w:ascii="宋体" w:hAnsi="宋体" w:eastAsia="宋体" w:cs="宋体"/>
          <w:b/>
          <w:color w:val="auto"/>
          <w:sz w:val="24"/>
          <w:szCs w:val="24"/>
          <w:highlight w:val="none"/>
        </w:rPr>
        <w:sectPr>
          <w:pgSz w:w="16840" w:h="11907" w:orient="landscape"/>
          <w:pgMar w:top="1358" w:right="1440" w:bottom="1752" w:left="1440" w:header="851" w:footer="992" w:gutter="0"/>
          <w:cols w:space="720" w:num="1"/>
          <w:docGrid w:type="linesAndChars" w:linePitch="323" w:charSpace="-2"/>
        </w:sectPr>
      </w:pPr>
    </w:p>
    <w:p>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投标分项报价表</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投标人名称：             招标编号：               货币单位：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20"/>
        <w:gridCol w:w="1108"/>
        <w:gridCol w:w="1400"/>
        <w:gridCol w:w="1110"/>
        <w:gridCol w:w="975"/>
        <w:gridCol w:w="976"/>
        <w:gridCol w:w="932"/>
        <w:gridCol w:w="932"/>
        <w:gridCol w:w="9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投标货物合同包</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原产地</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数量、型号、规格</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主机和标准附件单价</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备品备件价</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专用工具价</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4"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技术服务费</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安装调试费</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检验培训费</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1108"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投标价格</w:t>
            </w:r>
          </w:p>
        </w:tc>
        <w:tc>
          <w:tcPr>
            <w:tcW w:w="14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rPr>
            </w:pPr>
          </w:p>
        </w:tc>
        <w:tc>
          <w:tcPr>
            <w:tcW w:w="110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投标总价</w:t>
            </w:r>
          </w:p>
        </w:tc>
        <w:tc>
          <w:tcPr>
            <w:tcW w:w="5858" w:type="dxa"/>
            <w:gridSpan w:val="6"/>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bl>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注：1．第1栏投标货物合同包/品目号系指“招标货物一览表”中该货物的合同包/品目号。</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2．出厂价投标价格＝栏目6×栏目5（数量）＋栏目7至栏目11的各项费用。</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3．现场交货投标价格＝栏目6×栏目5（数量）＋栏目7至栏目13的各项费用。</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4．选购件价不包括在本报价表内，应另附纸分项单报。</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5．此表第15项投标价若与开标一览表有出入，以开标一览表投标价格为准。</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rPr>
        <w:t>按货物的不同规格型号详细分项报价，</w:t>
      </w:r>
      <w:r>
        <w:rPr>
          <w:rFonts w:hint="eastAsia" w:ascii="宋体" w:hAnsi="宋体" w:eastAsia="宋体" w:cs="宋体"/>
          <w:color w:val="auto"/>
          <w:sz w:val="24"/>
          <w:szCs w:val="24"/>
          <w:highlight w:val="none"/>
        </w:rPr>
        <w:t>若未详细分项报价将被视为没有实质性响应招标文件。</w:t>
      </w:r>
    </w:p>
    <w:p>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货物说明一览表</w:t>
      </w:r>
    </w:p>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（按投标货物合同包下品目号类别分别填写）</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                                      招标编号∶</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1460"/>
        <w:gridCol w:w="1260"/>
        <w:gridCol w:w="2160"/>
        <w:gridCol w:w="1440"/>
        <w:gridCol w:w="1817"/>
        <w:gridCol w:w="824"/>
        <w:gridCol w:w="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4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型号规格</w:t>
            </w:r>
          </w:p>
        </w:tc>
        <w:tc>
          <w:tcPr>
            <w:tcW w:w="181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8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0" w:hRule="atLeast"/>
        </w:trPr>
        <w:tc>
          <w:tcPr>
            <w:tcW w:w="14176" w:type="dxa"/>
            <w:gridSpan w:val="10"/>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详细性能说明</w:t>
            </w:r>
          </w:p>
        </w:tc>
      </w:tr>
    </w:tbl>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pPr>
        <w:widowControl/>
        <w:spacing w:line="360" w:lineRule="auto"/>
        <w:jc w:val="left"/>
        <w:rPr>
          <w:rFonts w:hint="eastAsia" w:ascii="宋体" w:hAnsi="宋体" w:eastAsia="宋体" w:cs="宋体"/>
          <w:color w:val="auto"/>
          <w:sz w:val="24"/>
          <w:szCs w:val="24"/>
          <w:highlight w:val="none"/>
        </w:rPr>
        <w:sectPr>
          <w:pgSz w:w="16840" w:h="11907" w:orient="landscape"/>
          <w:pgMar w:top="1752" w:right="1440" w:bottom="1752" w:left="1440" w:header="851" w:footer="992" w:gutter="0"/>
          <w:cols w:space="720" w:num="1"/>
          <w:docGrid w:type="lines" w:linePitch="323" w:charSpace="0"/>
        </w:sectPr>
      </w:pPr>
    </w:p>
    <w:p>
      <w:pPr>
        <w:pStyle w:val="18"/>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供货范围</w:t>
      </w:r>
      <w:r>
        <w:rPr>
          <w:rFonts w:hint="eastAsia" w:hAnsi="宋体" w:eastAsia="宋体" w:cs="宋体"/>
          <w:b/>
          <w:bCs/>
          <w:color w:val="auto"/>
          <w:sz w:val="32"/>
          <w:szCs w:val="32"/>
          <w:highlight w:val="none"/>
        </w:rPr>
        <w:t>清单</w:t>
      </w:r>
    </w:p>
    <w:p>
      <w:pPr>
        <w:pStyle w:val="18"/>
        <w:spacing w:line="360" w:lineRule="auto"/>
        <w:jc w:val="left"/>
        <w:rPr>
          <w:rFonts w:hint="eastAsia"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本清单应列明组成货物的主要件和关键件的名称、数量、原产地、制造商、型号规格及单价；</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本清单应列明专用工具的名称、数量、原产地、制造商、型号规格及单价（如果有的话）；</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本清单应列明备品备件的名称、数量、原产地、制造商、型号规格及单价（如果有的话）。</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pStyle w:val="18"/>
        <w:spacing w:line="360" w:lineRule="auto"/>
        <w:jc w:val="left"/>
        <w:rPr>
          <w:rFonts w:hint="eastAsia" w:hAnsi="宋体" w:eastAsia="宋体" w:cs="宋体"/>
          <w:color w:val="auto"/>
          <w:sz w:val="24"/>
          <w:szCs w:val="24"/>
          <w:highlight w:val="none"/>
        </w:rPr>
      </w:pPr>
    </w:p>
    <w:p>
      <w:pPr>
        <w:pStyle w:val="18"/>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pPr>
        <w:pStyle w:val="18"/>
        <w:spacing w:line="360" w:lineRule="auto"/>
        <w:jc w:val="center"/>
        <w:rPr>
          <w:rFonts w:hint="eastAsia" w:hAnsi="宋体" w:eastAsia="宋体" w:cs="宋体"/>
          <w:color w:val="auto"/>
          <w:sz w:val="32"/>
          <w:szCs w:val="32"/>
          <w:highlight w:val="none"/>
          <w:u w:val="single"/>
        </w:rPr>
      </w:pPr>
      <w:r>
        <w:rPr>
          <w:rFonts w:hint="eastAsia" w:hAnsi="宋体" w:eastAsia="宋体" w:cs="宋体"/>
          <w:color w:val="auto"/>
          <w:sz w:val="24"/>
          <w:szCs w:val="24"/>
          <w:highlight w:val="none"/>
        </w:rPr>
        <w:br w:type="page"/>
      </w:r>
      <w:r>
        <w:rPr>
          <w:rFonts w:hint="eastAsia" w:hAnsi="宋体" w:eastAsia="宋体" w:cs="宋体"/>
          <w:b/>
          <w:bCs/>
          <w:color w:val="auto"/>
          <w:sz w:val="32"/>
          <w:szCs w:val="32"/>
          <w:highlight w:val="none"/>
        </w:rPr>
        <w:t>技术规格和商务响应表</w:t>
      </w:r>
    </w:p>
    <w:p>
      <w:pPr>
        <w:pStyle w:val="18"/>
        <w:spacing w:line="360" w:lineRule="auto"/>
        <w:ind w:left="1"/>
        <w:rPr>
          <w:rFonts w:hint="eastAsia" w:hAnsi="宋体" w:eastAsia="宋体" w:cs="宋体"/>
          <w:color w:val="auto"/>
          <w:sz w:val="24"/>
          <w:szCs w:val="24"/>
          <w:highlight w:val="none"/>
        </w:rPr>
      </w:pPr>
      <w:r>
        <w:rPr>
          <w:rFonts w:hint="eastAsia" w:hAnsi="宋体" w:eastAsia="宋体" w:cs="宋体"/>
          <w:color w:val="auto"/>
          <w:sz w:val="24"/>
          <w:szCs w:val="24"/>
          <w:highlight w:val="none"/>
        </w:rPr>
        <w:t>投标人（全称并加盖公章）：                         招标编号∶</w:t>
      </w:r>
      <w:r>
        <w:rPr>
          <w:rFonts w:hint="eastAsia" w:hAnsi="宋体" w:eastAsia="宋体" w:cs="宋体"/>
          <w:color w:val="auto"/>
          <w:sz w:val="24"/>
          <w:szCs w:val="24"/>
          <w:highlight w:val="none"/>
        </w:rPr>
        <w:tab/>
      </w:r>
    </w:p>
    <w:tbl>
      <w:tblPr>
        <w:tblStyle w:val="12"/>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81"/>
        <w:gridCol w:w="1156"/>
        <w:gridCol w:w="1330"/>
        <w:gridCol w:w="1330"/>
        <w:gridCol w:w="1855"/>
        <w:gridCol w:w="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4885"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4166"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98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5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规格条目号</w:t>
            </w:r>
          </w:p>
        </w:tc>
        <w:tc>
          <w:tcPr>
            <w:tcW w:w="133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133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185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98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r>
    </w:tbl>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kern w:val="0"/>
          <w:sz w:val="24"/>
          <w:szCs w:val="24"/>
          <w:highlight w:val="none"/>
        </w:rPr>
        <w:t>投标人应对招标文件中的“*”号条款进行逐条响应，否则评标委员会对其投标做出不利评审，投标人必须自行承担责任</w:t>
      </w:r>
      <w:r>
        <w:rPr>
          <w:rFonts w:hint="eastAsia" w:ascii="宋体" w:hAnsi="宋体" w:eastAsia="宋体" w:cs="宋体"/>
          <w:color w:val="auto"/>
          <w:sz w:val="24"/>
          <w:szCs w:val="24"/>
          <w:highlight w:val="none"/>
        </w:rPr>
        <w:t>。</w:t>
      </w:r>
    </w:p>
    <w:p>
      <w:pPr>
        <w:tabs>
          <w:tab w:val="left" w:pos="6305"/>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p>
    <w:p>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32"/>
          <w:szCs w:val="32"/>
          <w:highlight w:val="none"/>
        </w:rPr>
        <w:t>投标人的资格证明文件</w:t>
      </w:r>
    </w:p>
    <w:p>
      <w:pPr>
        <w:pStyle w:val="18"/>
        <w:spacing w:line="360" w:lineRule="auto"/>
        <w:rPr>
          <w:rFonts w:hint="eastAsia" w:hAnsi="宋体" w:eastAsia="宋体" w:cs="宋体"/>
          <w:color w:val="auto"/>
          <w:sz w:val="24"/>
          <w:szCs w:val="24"/>
          <w:highlight w:val="none"/>
        </w:rPr>
      </w:pPr>
    </w:p>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关于资格的声明函</w:t>
      </w:r>
    </w:p>
    <w:p>
      <w:pPr>
        <w:spacing w:line="360" w:lineRule="auto"/>
        <w:jc w:val="center"/>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关于贵方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（招标编号）投标邀请，本签字人愿意参加投标，提供招标文件“招标货物及要求”中规定的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（合同包/品目号）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（货物名称），并证明提交的下列文件和说明是准确的和真实的。</w:t>
      </w:r>
    </w:p>
    <w:p>
      <w:pPr>
        <w:spacing w:line="360" w:lineRule="auto"/>
        <w:ind w:firstLine="480" w:firstLineChars="200"/>
        <w:rPr>
          <w:rFonts w:hint="eastAsia" w:ascii="宋体" w:hAnsi="宋体" w:eastAsia="宋体" w:cs="宋体"/>
          <w:color w:val="auto"/>
          <w:sz w:val="24"/>
          <w:szCs w:val="24"/>
          <w:highlight w:val="none"/>
        </w:rPr>
      </w:pP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1．本签字人确认资格文件中的说明以及投标文件中所有提交的文件和材料是真实的、准确的。</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2．我方的资格声明正本一份，副本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份，随投标文件一同递交。</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pacing w:line="360" w:lineRule="auto"/>
        <w:jc w:val="center"/>
        <w:rPr>
          <w:rFonts w:hint="eastAsia" w:ascii="宋体" w:hAnsi="宋体" w:eastAsia="宋体" w:cs="宋体"/>
          <w:b/>
          <w:color w:val="auto"/>
          <w:sz w:val="24"/>
          <w:szCs w:val="24"/>
          <w:highlight w:val="none"/>
        </w:rPr>
      </w:pPr>
    </w:p>
    <w:p>
      <w:pPr>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w:t>
      </w:r>
    </w:p>
    <w:p>
      <w:pPr>
        <w:spacing w:line="360" w:lineRule="auto"/>
        <w:rPr>
          <w:rFonts w:hint="eastAsia" w:ascii="宋体" w:hAnsi="宋体" w:eastAsia="宋体" w:cs="宋体"/>
          <w:b/>
          <w:color w:val="auto"/>
          <w:sz w:val="32"/>
          <w:szCs w:val="32"/>
          <w:highlight w:val="none"/>
        </w:rPr>
      </w:pPr>
    </w:p>
    <w:p>
      <w:pPr>
        <w:spacing w:line="360" w:lineRule="auto"/>
        <w:rPr>
          <w:rFonts w:hint="eastAsia" w:ascii="宋体" w:hAnsi="宋体" w:eastAsia="宋体" w:cs="宋体"/>
          <w:b/>
          <w:color w:val="auto"/>
          <w:sz w:val="32"/>
          <w:szCs w:val="32"/>
          <w:highlight w:val="none"/>
        </w:rPr>
      </w:pPr>
    </w:p>
    <w:p>
      <w:pPr>
        <w:spacing w:line="360" w:lineRule="auto"/>
        <w:rPr>
          <w:rFonts w:hint="eastAsia" w:ascii="宋体" w:hAnsi="宋体" w:eastAsia="宋体" w:cs="宋体"/>
          <w:b/>
          <w:color w:val="auto"/>
          <w:sz w:val="32"/>
          <w:szCs w:val="32"/>
          <w:highlight w:val="none"/>
        </w:rPr>
      </w:pPr>
    </w:p>
    <w:p>
      <w:pPr>
        <w:spacing w:line="360" w:lineRule="auto"/>
        <w:rPr>
          <w:rFonts w:hint="eastAsia" w:ascii="宋体" w:hAnsi="宋体" w:eastAsia="宋体" w:cs="宋体"/>
          <w:b/>
          <w:color w:val="auto"/>
          <w:sz w:val="32"/>
          <w:szCs w:val="32"/>
          <w:highlight w:val="none"/>
        </w:rPr>
      </w:pPr>
    </w:p>
    <w:p>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授权函</w:t>
      </w: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（招标代理机构）</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single"/>
        </w:rPr>
        <w:t>（制造商名称）</w:t>
      </w:r>
      <w:r>
        <w:rPr>
          <w:rFonts w:hint="eastAsia" w:ascii="宋体" w:hAnsi="宋体" w:eastAsia="宋体" w:cs="宋体"/>
          <w:bCs/>
          <w:color w:val="auto"/>
          <w:sz w:val="24"/>
          <w:szCs w:val="24"/>
          <w:highlight w:val="none"/>
        </w:rPr>
        <w:t>兹授权</w:t>
      </w:r>
      <w:r>
        <w:rPr>
          <w:rFonts w:hint="eastAsia" w:ascii="宋体" w:hAnsi="宋体" w:eastAsia="宋体" w:cs="宋体"/>
          <w:bCs/>
          <w:color w:val="auto"/>
          <w:sz w:val="24"/>
          <w:szCs w:val="24"/>
          <w:highlight w:val="none"/>
          <w:u w:val="single"/>
        </w:rPr>
        <w:t xml:space="preserve"> （投标人名称）                    </w:t>
      </w:r>
      <w:r>
        <w:rPr>
          <w:rFonts w:hint="eastAsia" w:ascii="宋体" w:hAnsi="宋体" w:eastAsia="宋体" w:cs="宋体"/>
          <w:bCs/>
          <w:color w:val="auto"/>
          <w:sz w:val="24"/>
          <w:szCs w:val="24"/>
          <w:highlight w:val="none"/>
        </w:rPr>
        <w:t>作为我方的授权代理商进行下列有效活动：</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1、代理我方产品参加贵方第</w:t>
      </w:r>
      <w:r>
        <w:rPr>
          <w:rFonts w:hint="eastAsia" w:ascii="宋体" w:hAnsi="宋体" w:eastAsia="宋体" w:cs="宋体"/>
          <w:bCs/>
          <w:color w:val="auto"/>
          <w:sz w:val="24"/>
          <w:szCs w:val="24"/>
          <w:highlight w:val="none"/>
          <w:u w:val="single"/>
        </w:rPr>
        <w:t xml:space="preserve">           号</w:t>
      </w:r>
      <w:r>
        <w:rPr>
          <w:rFonts w:hint="eastAsia" w:ascii="宋体" w:hAnsi="宋体" w:eastAsia="宋体" w:cs="宋体"/>
          <w:bCs/>
          <w:color w:val="auto"/>
          <w:sz w:val="24"/>
          <w:szCs w:val="24"/>
          <w:highlight w:val="none"/>
        </w:rPr>
        <w:t>邀请函的相关投标事宜，并对我方具有约束力。</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2、作为制造商，我方对该投标共同或分别承担投标文件中规定的义务。</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我方于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日签署本文件，</w:t>
      </w:r>
      <w:r>
        <w:rPr>
          <w:rFonts w:hint="eastAsia" w:ascii="宋体" w:hAnsi="宋体" w:eastAsia="宋体" w:cs="宋体"/>
          <w:bCs/>
          <w:color w:val="auto"/>
          <w:sz w:val="24"/>
          <w:szCs w:val="24"/>
          <w:highlight w:val="none"/>
          <w:u w:val="single"/>
        </w:rPr>
        <w:t xml:space="preserve">（投标人名称） </w:t>
      </w:r>
      <w:r>
        <w:rPr>
          <w:rFonts w:hint="eastAsia" w:ascii="宋体" w:hAnsi="宋体" w:eastAsia="宋体" w:cs="宋体"/>
          <w:bCs/>
          <w:color w:val="auto"/>
          <w:sz w:val="24"/>
          <w:szCs w:val="24"/>
          <w:highlight w:val="none"/>
        </w:rPr>
        <w:t>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日接受此件，以此为证。</w:t>
      </w:r>
    </w:p>
    <w:p>
      <w:pPr>
        <w:spacing w:line="360" w:lineRule="auto"/>
        <w:ind w:firstLine="480" w:firstLineChars="200"/>
        <w:rPr>
          <w:rFonts w:hint="eastAsia" w:ascii="宋体" w:hAnsi="宋体" w:eastAsia="宋体" w:cs="宋体"/>
          <w:bCs/>
          <w:color w:val="auto"/>
          <w:sz w:val="24"/>
          <w:szCs w:val="24"/>
          <w:highlight w:val="none"/>
        </w:rPr>
      </w:pPr>
    </w:p>
    <w:p>
      <w:pPr>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投标人名称：</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制造商名称：</w:t>
      </w:r>
      <w:r>
        <w:rPr>
          <w:rFonts w:hint="eastAsia" w:ascii="宋体" w:hAnsi="宋体" w:eastAsia="宋体" w:cs="宋体"/>
          <w:bCs/>
          <w:color w:val="auto"/>
          <w:sz w:val="24"/>
          <w:szCs w:val="24"/>
          <w:highlight w:val="none"/>
          <w:u w:val="single"/>
        </w:rPr>
        <w:t xml:space="preserve">                    </w:t>
      </w:r>
    </w:p>
    <w:p>
      <w:pPr>
        <w:tabs>
          <w:tab w:val="left" w:pos="4095"/>
        </w:tabs>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eastAsia="宋体" w:cs="宋体"/>
          <w:color w:val="auto"/>
          <w:sz w:val="24"/>
          <w:szCs w:val="24"/>
          <w:highlight w:val="none"/>
        </w:rPr>
        <w:t xml:space="preserve">（盖章）                      （盖章） </w:t>
      </w:r>
    </w:p>
    <w:p>
      <w:pPr>
        <w:tabs>
          <w:tab w:val="left" w:pos="4095"/>
        </w:tabs>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投标人代表签字：</w:t>
      </w:r>
      <w:r>
        <w:rPr>
          <w:rFonts w:hint="eastAsia" w:ascii="宋体" w:hAnsi="宋体" w:eastAsia="宋体" w:cs="宋体"/>
          <w:bCs/>
          <w:color w:val="auto"/>
          <w:sz w:val="24"/>
          <w:szCs w:val="24"/>
          <w:highlight w:val="none"/>
          <w:u w:val="single"/>
        </w:rPr>
        <w:t xml:space="preserve">             </w:t>
      </w:r>
    </w:p>
    <w:p>
      <w:pPr>
        <w:tabs>
          <w:tab w:val="left" w:pos="4095"/>
        </w:tabs>
        <w:spacing w:line="360" w:lineRule="auto"/>
        <w:rPr>
          <w:rFonts w:hint="eastAsia" w:ascii="宋体" w:hAnsi="宋体" w:eastAsia="宋体" w:cs="宋体"/>
          <w:bCs/>
          <w:color w:val="auto"/>
          <w:sz w:val="24"/>
          <w:szCs w:val="24"/>
          <w:highlight w:val="none"/>
        </w:rPr>
      </w:pPr>
    </w:p>
    <w:p>
      <w:pPr>
        <w:tabs>
          <w:tab w:val="left" w:pos="4095"/>
        </w:tabs>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日期：</w:t>
      </w:r>
    </w:p>
    <w:p>
      <w:pPr>
        <w:spacing w:line="360" w:lineRule="auto"/>
        <w:jc w:val="center"/>
        <w:rPr>
          <w:rFonts w:hint="eastAsia" w:ascii="宋体" w:hAnsi="宋体" w:eastAsia="宋体" w:cs="宋体"/>
          <w:b/>
          <w:color w:val="auto"/>
          <w:sz w:val="24"/>
          <w:szCs w:val="24"/>
          <w:highlight w:val="none"/>
        </w:rPr>
      </w:pPr>
    </w:p>
    <w:p>
      <w:pPr>
        <w:spacing w:line="360" w:lineRule="auto"/>
        <w:jc w:val="center"/>
        <w:rPr>
          <w:rFonts w:hint="eastAsia" w:ascii="宋体" w:hAnsi="宋体" w:eastAsia="宋体" w:cs="宋体"/>
          <w:b/>
          <w:color w:val="auto"/>
          <w:sz w:val="24"/>
          <w:szCs w:val="24"/>
          <w:highlight w:val="none"/>
        </w:rPr>
      </w:pPr>
    </w:p>
    <w:p>
      <w:pPr>
        <w:spacing w:line="360" w:lineRule="auto"/>
        <w:jc w:val="center"/>
        <w:rPr>
          <w:rFonts w:hint="eastAsia" w:ascii="宋体" w:hAnsi="宋体" w:eastAsia="宋体" w:cs="宋体"/>
          <w:b/>
          <w:color w:val="auto"/>
          <w:sz w:val="24"/>
          <w:szCs w:val="24"/>
          <w:highlight w:val="none"/>
        </w:rPr>
      </w:pPr>
    </w:p>
    <w:p>
      <w:pPr>
        <w:spacing w:line="360" w:lineRule="auto"/>
        <w:jc w:val="center"/>
        <w:rPr>
          <w:rFonts w:hint="eastAsia" w:ascii="宋体" w:hAnsi="宋体" w:eastAsia="宋体" w:cs="宋体"/>
          <w:b/>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投标人的资格声明</w:t>
      </w:r>
    </w:p>
    <w:p>
      <w:pPr>
        <w:spacing w:line="360" w:lineRule="auto"/>
        <w:jc w:val="center"/>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1．投标人概况：                                   </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Ａ．投标人名称：</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Ｂ．注册地址：</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Ｃ．成立或注册日期：</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Ｄ．法定代表人：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（姓名、职务）</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实收资本：</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其中 国家资本：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法人资本：</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个人资本：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外商资本：</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Ｅ．最近资产负债表（到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(1)固定资产合计:</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(2)流动资产合计:</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(3)长期负债合计:</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(4)流动负债合计:</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Ｆ．最近损益表（到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(1)本年（期）利润总额累计：</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(2)本年（期）净利润累计： </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2．我方在此声明，我方具备并满足下列各项条款的规定。本声明如有虚假或不实之处，我方将失去合格投标人资格且我方的投标保证金将不予退还。</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（1）具有独立承担民事责任的能力；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（2）具有良好的商业信誉和健全的财务会计制度；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（3）具有履行合同所必需的设备和专业技术能力；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（4）有依法缴纳税收和社会保障资金的良好记录；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rPr>
        <w:t>　（5）近三年内，在经营活动中没有重大违法记录。</w:t>
      </w:r>
      <w:r>
        <w:rPr>
          <w:rFonts w:hint="eastAsia" w:ascii="宋体"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3．最近三年投标货物在国内主要用户的名称和地址：</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运行状况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r>
    </w:tbl>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 单位营业执照、税务登记证见附件。</w:t>
      </w:r>
    </w:p>
    <w:p>
      <w:pPr>
        <w:spacing w:line="360" w:lineRule="auto"/>
        <w:rPr>
          <w:rFonts w:hint="eastAsia" w:ascii="宋体" w:hAnsi="宋体" w:eastAsia="宋体" w:cs="宋体"/>
          <w:color w:val="auto"/>
          <w:sz w:val="24"/>
          <w:szCs w:val="24"/>
          <w:highlight w:val="none"/>
        </w:rPr>
      </w:pP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就我方全部所知，兹证明上述声明是真实、正确的，并已提供了全部现有资料和数据，我方同意根据贵方要求出示文件予以证实。</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w:t>
      </w:r>
    </w:p>
    <w:p>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电      传：</w:t>
      </w:r>
      <w:r>
        <w:rPr>
          <w:rFonts w:hint="eastAsia" w:ascii="宋体" w:hAnsi="宋体" w:eastAsia="宋体" w:cs="宋体"/>
          <w:color w:val="auto"/>
          <w:sz w:val="24"/>
          <w:szCs w:val="24"/>
          <w:highlight w:val="none"/>
          <w:u w:val="single"/>
        </w:rPr>
        <w:t xml:space="preserve">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pStyle w:val="18"/>
        <w:spacing w:line="360" w:lineRule="auto"/>
        <w:rPr>
          <w:rFonts w:hint="eastAsia" w:hAnsi="宋体" w:eastAsia="宋体" w:cs="宋体"/>
          <w:color w:val="auto"/>
          <w:sz w:val="24"/>
          <w:szCs w:val="24"/>
          <w:highlight w:val="none"/>
        </w:rPr>
      </w:pPr>
    </w:p>
    <w:p>
      <w:pPr>
        <w:pStyle w:val="18"/>
        <w:spacing w:line="360" w:lineRule="auto"/>
        <w:rPr>
          <w:rFonts w:hint="eastAsia" w:hAnsi="宋体" w:eastAsia="宋体" w:cs="宋体"/>
          <w:color w:val="auto"/>
          <w:sz w:val="24"/>
          <w:szCs w:val="24"/>
          <w:highlight w:val="none"/>
        </w:rPr>
      </w:pPr>
    </w:p>
    <w:p>
      <w:pPr>
        <w:pStyle w:val="18"/>
        <w:spacing w:line="360" w:lineRule="auto"/>
        <w:rPr>
          <w:rFonts w:hint="eastAsia" w:hAnsi="宋体" w:eastAsia="宋体" w:cs="宋体"/>
          <w:color w:val="auto"/>
          <w:sz w:val="24"/>
          <w:szCs w:val="24"/>
          <w:highlight w:val="none"/>
        </w:rPr>
      </w:pPr>
    </w:p>
    <w:p>
      <w:pPr>
        <w:pStyle w:val="18"/>
        <w:spacing w:line="360" w:lineRule="auto"/>
        <w:rPr>
          <w:rFonts w:hint="eastAsia" w:hAnsi="宋体" w:eastAsia="宋体" w:cs="宋体"/>
          <w:color w:val="auto"/>
          <w:sz w:val="24"/>
          <w:szCs w:val="24"/>
          <w:highlight w:val="none"/>
        </w:rPr>
      </w:pPr>
    </w:p>
    <w:p>
      <w:pPr>
        <w:pStyle w:val="18"/>
        <w:spacing w:line="360" w:lineRule="auto"/>
        <w:rPr>
          <w:rFonts w:hint="eastAsia" w:hAnsi="宋体" w:eastAsia="宋体" w:cs="宋体"/>
          <w:color w:val="auto"/>
          <w:sz w:val="24"/>
          <w:szCs w:val="24"/>
          <w:highlight w:val="none"/>
        </w:rPr>
      </w:pPr>
    </w:p>
    <w:p>
      <w:pPr>
        <w:pStyle w:val="18"/>
        <w:spacing w:line="360" w:lineRule="auto"/>
        <w:rPr>
          <w:rFonts w:hint="eastAsia" w:hAnsi="宋体" w:eastAsia="宋体" w:cs="宋体"/>
          <w:color w:val="auto"/>
          <w:sz w:val="24"/>
          <w:szCs w:val="24"/>
          <w:highlight w:val="none"/>
        </w:rPr>
      </w:pPr>
    </w:p>
    <w:p>
      <w:pPr>
        <w:pStyle w:val="18"/>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单位授权书</w:t>
      </w:r>
    </w:p>
    <w:p>
      <w:pPr>
        <w:pStyle w:val="18"/>
        <w:spacing w:line="360" w:lineRule="auto"/>
        <w:jc w:val="center"/>
        <w:rPr>
          <w:rFonts w:hint="eastAsia"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（招标代理机构）   </w:t>
      </w:r>
      <w:r>
        <w:rPr>
          <w:rFonts w:hint="eastAsia" w:ascii="宋体" w:hAnsi="宋体" w:eastAsia="宋体" w:cs="宋体"/>
          <w:color w:val="auto"/>
          <w:sz w:val="24"/>
          <w:szCs w:val="24"/>
          <w:highlight w:val="none"/>
        </w:rPr>
        <w:t>：</w:t>
      </w:r>
    </w:p>
    <w:p>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u w:val="single"/>
        </w:rPr>
        <w:t>（投标人全称）</w:t>
      </w:r>
      <w:r>
        <w:rPr>
          <w:rFonts w:hint="eastAsia" w:hAnsi="宋体" w:eastAsia="宋体" w:cs="宋体"/>
          <w:color w:val="auto"/>
          <w:sz w:val="24"/>
          <w:szCs w:val="24"/>
          <w:highlight w:val="none"/>
        </w:rPr>
        <w:t>授权</w:t>
      </w:r>
      <w:r>
        <w:rPr>
          <w:rFonts w:hint="eastAsia" w:hAnsi="宋体" w:eastAsia="宋体" w:cs="宋体"/>
          <w:color w:val="auto"/>
          <w:sz w:val="24"/>
          <w:szCs w:val="24"/>
          <w:highlight w:val="none"/>
          <w:u w:val="single"/>
        </w:rPr>
        <w:t xml:space="preserve">  （投标人代表姓名）</w:t>
      </w:r>
      <w:r>
        <w:rPr>
          <w:rFonts w:hint="eastAsia" w:hAnsi="宋体" w:eastAsia="宋体" w:cs="宋体"/>
          <w:color w:val="auto"/>
          <w:sz w:val="24"/>
          <w:szCs w:val="24"/>
          <w:highlight w:val="none"/>
        </w:rPr>
        <w:t>为投标人代表，代表本公司参加贵司组织的</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项目（招标编号</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托权。特此授权。</w:t>
      </w:r>
    </w:p>
    <w:p>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本授权书自出具之日起生效。</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部门：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详细通讯地址：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电话：</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附：被授权人身份证件</w:t>
      </w:r>
    </w:p>
    <w:p>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授权方</w:t>
      </w:r>
    </w:p>
    <w:p>
      <w:pPr>
        <w:spacing w:line="360" w:lineRule="auto"/>
        <w:rPr>
          <w:rFonts w:hint="eastAsia" w:ascii="宋体" w:hAnsi="宋体" w:eastAsia="宋体" w:cs="宋体"/>
          <w:color w:val="auto"/>
          <w:sz w:val="24"/>
          <w:szCs w:val="24"/>
          <w:highlight w:val="none"/>
        </w:rPr>
      </w:pPr>
    </w:p>
    <w:p>
      <w:pPr>
        <w:spacing w:line="360" w:lineRule="auto"/>
        <w:ind w:firstLine="3960" w:firstLineChars="16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p>
    <w:p>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p>
    <w:p>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接受授权方</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pStyle w:val="18"/>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单位营业执照、税务登记证</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（签发机关名称）签发的我方单位营业执照副本复印件，该执照真实有效。</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（签发机关名称）签发的我方税务登记证副本复印件，该证件已经年检，真实有效。</w:t>
      </w:r>
    </w:p>
    <w:p>
      <w:pPr>
        <w:spacing w:line="360" w:lineRule="auto"/>
        <w:rPr>
          <w:rFonts w:hint="eastAsia" w:ascii="宋体" w:hAnsi="宋体" w:eastAsia="宋体" w:cs="宋体"/>
          <w:color w:val="auto"/>
          <w:sz w:val="24"/>
          <w:szCs w:val="24"/>
          <w:highlight w:val="none"/>
        </w:rPr>
      </w:pP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（注：单位营业执照、税务登记证提供复印件，由企业加盖公章并注明复印件与原件一致。）</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 标 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p>
    <w:p>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32"/>
          <w:szCs w:val="32"/>
          <w:highlight w:val="none"/>
        </w:rPr>
        <w:t>投标人提交的其它资料</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w:t>
      </w:r>
      <w:r>
        <w:rPr>
          <w:rFonts w:hint="eastAsia" w:ascii="宋体" w:hAnsi="宋体" w:eastAsia="宋体" w:cs="宋体"/>
          <w:color w:val="auto"/>
          <w:sz w:val="24"/>
          <w:szCs w:val="24"/>
          <w:highlight w:val="none"/>
        </w:rPr>
        <w:t>参加政府采购活动前3年内在经营活动中没有重大违法记录的书面声明；投标人自行对其有无行贿犯罪情形进行书面说明或书面承诺。</w:t>
      </w:r>
    </w:p>
    <w:p>
      <w:pPr>
        <w:spacing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投标人认为应提交的其他材料, 可在此附件中提交。</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pStyle w:val="7"/>
        <w:snapToGrid w:val="0"/>
        <w:spacing w:line="360" w:lineRule="auto"/>
        <w:jc w:val="left"/>
        <w:rPr>
          <w:rFonts w:hint="eastAsia" w:hAnsi="宋体" w:eastAsia="宋体" w:cs="宋体"/>
          <w:color w:val="auto"/>
          <w:sz w:val="24"/>
          <w:szCs w:val="24"/>
          <w:highlight w:val="none"/>
        </w:rPr>
      </w:pPr>
    </w:p>
    <w:p>
      <w:pPr>
        <w:pStyle w:val="7"/>
        <w:snapToGrid w:val="0"/>
        <w:spacing w:line="360" w:lineRule="auto"/>
        <w:jc w:val="left"/>
        <w:rPr>
          <w:rFonts w:hint="eastAsia" w:hAnsi="宋体" w:eastAsia="宋体" w:cs="宋体"/>
          <w:color w:val="auto"/>
          <w:sz w:val="24"/>
          <w:szCs w:val="24"/>
          <w:highlight w:val="none"/>
        </w:rPr>
      </w:pPr>
    </w:p>
    <w:p>
      <w:pPr>
        <w:pStyle w:val="7"/>
        <w:snapToGrid w:val="0"/>
        <w:spacing w:line="360" w:lineRule="auto"/>
        <w:jc w:val="left"/>
        <w:rPr>
          <w:rFonts w:hint="eastAsia" w:hAnsi="宋体" w:eastAsia="宋体" w:cs="宋体"/>
          <w:color w:val="auto"/>
          <w:sz w:val="24"/>
          <w:szCs w:val="24"/>
          <w:highlight w:val="none"/>
        </w:rPr>
      </w:pPr>
    </w:p>
    <w:p>
      <w:pPr>
        <w:pStyle w:val="18"/>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p>
    <w:p>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14" w:charSpace="0"/>
        </w:sectPr>
      </w:pPr>
    </w:p>
    <w:p>
      <w:pPr>
        <w:spacing w:line="360" w:lineRule="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附：廉洁承诺书</w:t>
      </w:r>
    </w:p>
    <w:p>
      <w:pPr>
        <w:widowControl/>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廉洁承诺书</w:t>
      </w:r>
    </w:p>
    <w:p>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为促进廉洁自律有关规定的落实，打击贿赂、以权谋私等违法犯罪行为，保证各项经营活动健康有序开展，维护员工职业操守，提高合作效率，本单位在与厦门万翔招标有限公司开展投标业务活动中承诺： </w:t>
      </w:r>
    </w:p>
    <w:p>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一、自觉遵守国家法律、法规，按照《中国共产党纪律处分条例》、《中华人民共和国反不正当竞争法》、《关于禁止商业贿赂行为的暂行规定》以及有关要求进行各项业务活动。</w:t>
      </w:r>
    </w:p>
    <w:p>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二、不向厦门万翔招标有限公司的工作人员及其亲属馈赠礼金、礼品</w:t>
      </w:r>
      <w:r>
        <w:rPr>
          <w:rFonts w:hint="eastAsia" w:ascii="宋体" w:hAnsi="宋体" w:eastAsia="宋体" w:cs="宋体"/>
          <w:color w:val="auto"/>
          <w:sz w:val="24"/>
          <w:szCs w:val="24"/>
          <w:highlight w:val="none"/>
        </w:rPr>
        <w:t>（含有价证券）</w:t>
      </w:r>
      <w:r>
        <w:rPr>
          <w:rFonts w:hint="eastAsia" w:ascii="宋体" w:hAnsi="宋体" w:eastAsia="宋体" w:cs="宋体"/>
          <w:color w:val="auto"/>
          <w:sz w:val="24"/>
          <w:szCs w:val="24"/>
          <w:highlight w:val="none"/>
        </w:rPr>
        <w:t>；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三、不与其他经营者串通报价和投标，不排挤其他经营者的公平竞争，损害其他经营者的合法权益；不在工程建设的预决算编制工作中弄虚作假、高估冒算。</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四、发现厦门万翔招标有限公司的工作人员有受贿行为或索贿要求、徇私舞弊、滥用职权时，将予以举报</w:t>
      </w:r>
      <w:r>
        <w:rPr>
          <w:rFonts w:hint="eastAsia" w:ascii="宋体" w:hAnsi="宋体" w:eastAsia="宋体" w:cs="宋体"/>
          <w:color w:val="auto"/>
          <w:sz w:val="24"/>
          <w:szCs w:val="24"/>
          <w:highlight w:val="none"/>
        </w:rPr>
        <w:t>并提供证据</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举报电话：5705656或5701606；举报邮箱：</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"mailto:zpk@iport.com.cn"</w:instrText>
      </w:r>
      <w:r>
        <w:rPr>
          <w:rFonts w:hint="eastAsia" w:ascii="宋体" w:hAnsi="宋体" w:eastAsia="宋体" w:cs="宋体"/>
          <w:color w:val="auto"/>
          <w:sz w:val="24"/>
          <w:szCs w:val="24"/>
          <w:highlight w:val="none"/>
        </w:rPr>
        <w:fldChar w:fldCharType="separate"/>
      </w:r>
      <w:r>
        <w:rPr>
          <w:rStyle w:val="16"/>
          <w:rFonts w:hint="eastAsia" w:ascii="宋体" w:hAnsi="宋体" w:eastAsia="宋体" w:cs="宋体"/>
          <w:color w:val="auto"/>
          <w:sz w:val="24"/>
          <w:szCs w:val="24"/>
          <w:highlight w:val="none"/>
        </w:rPr>
        <w:t>zpk@iport.com.cn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；举报信件：厦门市湖里区机场北路476号四楼厦门万翔招标有限公司，总经理收。</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万元人民币违约金。</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widowControl/>
        <w:spacing w:line="360" w:lineRule="auto"/>
        <w:ind w:firstLine="482" w:firstLineChars="201"/>
        <w:jc w:val="left"/>
        <w:rPr>
          <w:rFonts w:hint="eastAsia" w:ascii="宋体" w:hAnsi="宋体" w:eastAsia="宋体" w:cs="宋体"/>
          <w:color w:val="auto"/>
          <w:sz w:val="24"/>
          <w:szCs w:val="24"/>
          <w:highlight w:val="none"/>
        </w:rPr>
      </w:pPr>
    </w:p>
    <w:p>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投标人名称（盖章）：</w:t>
      </w:r>
    </w:p>
    <w:p>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t>（或授权代表）</w:t>
      </w:r>
      <w:r>
        <w:rPr>
          <w:rFonts w:hint="eastAsia" w:ascii="宋体" w:hAnsi="宋体" w:eastAsia="宋体" w:cs="宋体"/>
          <w:color w:val="auto"/>
          <w:sz w:val="24"/>
          <w:szCs w:val="24"/>
          <w:highlight w:val="none"/>
        </w:rPr>
        <w:t>：</w:t>
      </w:r>
    </w:p>
    <w:p>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b/>
          <w:bCs/>
          <w:color w:val="auto"/>
          <w:sz w:val="32"/>
          <w:szCs w:val="32"/>
          <w:highlight w:val="none"/>
          <w:lang w:eastAsia="zh-CN"/>
        </w:rPr>
      </w:pPr>
    </w:p>
    <w:p>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lang w:eastAsia="zh-CN"/>
        </w:rPr>
        <w:t>代理服务费</w:t>
      </w:r>
      <w:r>
        <w:rPr>
          <w:rFonts w:hint="eastAsia" w:ascii="宋体" w:hAnsi="宋体" w:eastAsia="宋体" w:cs="宋体"/>
          <w:b/>
          <w:bCs/>
          <w:color w:val="auto"/>
          <w:sz w:val="32"/>
          <w:szCs w:val="32"/>
          <w:highlight w:val="none"/>
        </w:rPr>
        <w:t>承诺书</w:t>
      </w:r>
    </w:p>
    <w:p>
      <w:pPr>
        <w:pStyle w:val="18"/>
        <w:spacing w:line="360" w:lineRule="auto"/>
        <w:jc w:val="center"/>
        <w:rPr>
          <w:rFonts w:hint="eastAsia" w:hAnsi="宋体" w:eastAsia="宋体" w:cs="宋体"/>
          <w:color w:val="auto"/>
          <w:sz w:val="24"/>
          <w:szCs w:val="24"/>
          <w:highlight w:val="none"/>
        </w:rPr>
      </w:pPr>
    </w:p>
    <w:p>
      <w:pPr>
        <w:pStyle w:val="18"/>
        <w:spacing w:line="360" w:lineRule="auto"/>
        <w:jc w:val="center"/>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我司在贵司组织的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项目招标中投标（招标编号：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），如获中标，我们保证按招标文件的规定，以汇款、转帐方式向贵司缴交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我司一旦中标，承诺凭中标通知书原件按招标文件的规定签订合同，并最迟应于合同签订前缴交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，否则，我司同意贵司在厦门招投标网上对我司“不按规定缴交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的行为”进行公示。若自公示之日起3个工作日内，我司仍未缴交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的，我司同意按每日1%计取违约金。</w:t>
      </w:r>
    </w:p>
    <w:p>
      <w:pPr>
        <w:spacing w:line="360" w:lineRule="auto"/>
        <w:rPr>
          <w:rFonts w:hint="eastAsia" w:ascii="宋体" w:hAnsi="宋体" w:eastAsia="宋体" w:cs="宋体"/>
          <w:color w:val="auto"/>
          <w:sz w:val="24"/>
          <w:szCs w:val="24"/>
          <w:highlight w:val="none"/>
        </w:rPr>
      </w:pP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投标人（全称）： </w:t>
      </w:r>
      <w:r>
        <w:rPr>
          <w:rFonts w:hint="eastAsia" w:ascii="宋体" w:hAnsi="宋体" w:eastAsia="宋体" w:cs="宋体"/>
          <w:color w:val="auto"/>
          <w:sz w:val="24"/>
          <w:szCs w:val="24"/>
          <w:highlight w:val="none"/>
          <w:u w:val="single"/>
        </w:rPr>
        <w:t xml:space="preserve">                          </w:t>
      </w:r>
    </w:p>
    <w:p>
      <w:pPr>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p>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资格承诺函</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i/>
          <w:color w:val="auto"/>
          <w:sz w:val="24"/>
          <w:szCs w:val="24"/>
          <w:highlight w:val="none"/>
          <w:u w:val="single"/>
        </w:rPr>
        <w:t>（</w:t>
      </w:r>
      <w:r>
        <w:rPr>
          <w:rFonts w:hint="eastAsia" w:ascii="宋体" w:hAnsi="宋体" w:cs="宋体"/>
          <w:i/>
          <w:color w:val="auto"/>
          <w:sz w:val="24"/>
          <w:szCs w:val="24"/>
          <w:highlight w:val="none"/>
          <w:u w:val="single"/>
          <w:lang w:eastAsia="zh-CN"/>
        </w:rPr>
        <w:t>采购单位</w:t>
      </w:r>
      <w:r>
        <w:rPr>
          <w:rFonts w:hint="eastAsia" w:ascii="宋体" w:hAnsi="宋体" w:eastAsia="宋体" w:cs="宋体"/>
          <w:i/>
          <w:color w:val="auto"/>
          <w:sz w:val="24"/>
          <w:szCs w:val="24"/>
          <w:highlight w:val="none"/>
          <w:u w:val="single"/>
        </w:rPr>
        <w:t>、采购代理机构）</w:t>
      </w:r>
      <w:r>
        <w:rPr>
          <w:rFonts w:hint="eastAsia" w:ascii="宋体" w:hAnsi="宋体" w:eastAsia="宋体" w:cs="宋体"/>
          <w:color w:val="auto"/>
          <w:sz w:val="24"/>
          <w:szCs w:val="24"/>
          <w:highlight w:val="none"/>
          <w:u w:val="single"/>
        </w:rPr>
        <w:t xml:space="preserve">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我单位参与</w:t>
      </w:r>
      <w:r>
        <w:rPr>
          <w:rFonts w:hint="eastAsia" w:ascii="宋体" w:hAnsi="宋体" w:eastAsia="宋体" w:cs="宋体"/>
          <w:color w:val="auto"/>
          <w:sz w:val="24"/>
          <w:szCs w:val="24"/>
          <w:highlight w:val="none"/>
          <w:u w:val="single"/>
        </w:rPr>
        <w:t xml:space="preserve">  （</w:t>
      </w:r>
      <w:r>
        <w:rPr>
          <w:rFonts w:hint="eastAsia" w:ascii="宋体" w:hAnsi="宋体" w:eastAsia="宋体" w:cs="宋体"/>
          <w:i/>
          <w:color w:val="auto"/>
          <w:sz w:val="24"/>
          <w:szCs w:val="24"/>
          <w:highlight w:val="none"/>
          <w:u w:val="single"/>
        </w:rPr>
        <w:t>项目名称</w:t>
      </w:r>
      <w:r>
        <w:rPr>
          <w:rFonts w:hint="eastAsia" w:ascii="宋体" w:hAnsi="宋体" w:eastAsia="宋体" w:cs="宋体"/>
          <w:color w:val="auto"/>
          <w:sz w:val="24"/>
          <w:szCs w:val="24"/>
          <w:highlight w:val="none"/>
          <w:u w:val="single"/>
        </w:rPr>
        <w:t>）  （项目编号：    ）</w:t>
      </w:r>
      <w:r>
        <w:rPr>
          <w:rFonts w:hint="eastAsia" w:ascii="宋体" w:hAnsi="宋体" w:eastAsia="宋体" w:cs="宋体"/>
          <w:color w:val="auto"/>
          <w:sz w:val="24"/>
          <w:szCs w:val="24"/>
          <w:highlight w:val="none"/>
        </w:rPr>
        <w:t>项目的政府采购活动，现承诺如下：</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1.我单位具有符合采购文件资格要求的财务状况报告。</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2.我单位具有符合采购文件资格要求的依法缴纳税收的相关证明材料。</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3.我单位具有符合采购文件资格要求的依法缴纳社会保障资金的相关证明材料。</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若我单位承诺不实，自愿承担提供虚假材料谋取中标、成交的法律责任。</w:t>
      </w:r>
    </w:p>
    <w:p>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承诺投标人（全称并加盖公章）：</w:t>
      </w:r>
      <w:r>
        <w:rPr>
          <w:rFonts w:hint="eastAsia" w:ascii="宋体" w:hAnsi="宋体" w:eastAsia="宋体" w:cs="宋体"/>
          <w:color w:val="auto"/>
          <w:sz w:val="24"/>
          <w:szCs w:val="24"/>
          <w:highlight w:val="none"/>
          <w:u w:val="single"/>
        </w:rPr>
        <w:t xml:space="preserve">              </w:t>
      </w:r>
    </w:p>
    <w:p>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单位负责人或授权代表（签字）：</w:t>
      </w:r>
      <w:r>
        <w:rPr>
          <w:rFonts w:hint="eastAsia" w:ascii="宋体" w:hAnsi="宋体" w:eastAsia="宋体" w:cs="宋体"/>
          <w:color w:val="auto"/>
          <w:sz w:val="24"/>
          <w:szCs w:val="24"/>
          <w:highlight w:val="none"/>
          <w:u w:val="single"/>
        </w:rPr>
        <w:t xml:space="preserve">              </w:t>
      </w:r>
    </w:p>
    <w:p>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说明：1. 投标人可自行选择是否提供本承诺函，若不提供本承诺函的，应按采购文件要求提供相应的证明材料。</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投标人可删减承诺事项，如删去承诺第1项的，则应按采购文件要求提供财务状况报告。</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sectPr>
          <w:headerReference r:id="rId7" w:type="default"/>
          <w:footerReference r:id="rId8" w:type="default"/>
          <w:pgSz w:w="11906" w:h="16838"/>
          <w:pgMar w:top="1440" w:right="1800" w:bottom="1440" w:left="1800" w:header="851" w:footer="992" w:gutter="0"/>
          <w:cols w:space="720" w:num="1"/>
          <w:docGrid w:type="lines" w:linePitch="312" w:charSpace="0"/>
        </w:sect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附件：格式四表一注及资信证明</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附件1财务审计(会计)报告中的四表</w:t>
      </w:r>
      <w:bookmarkStart w:id="8" w:name="_Hlt448395085"/>
      <w:bookmarkStart w:id="9" w:name="_Hlt448395086"/>
      <w:r>
        <w:rPr>
          <w:rFonts w:hint="eastAsia" w:ascii="宋体" w:hAnsi="宋体" w:eastAsia="宋体" w:cs="宋体"/>
          <w:color w:val="auto"/>
          <w:sz w:val="24"/>
          <w:szCs w:val="24"/>
          <w:highlight w:val="none"/>
        </w:rPr>
        <w:t>一</w:t>
      </w:r>
      <w:bookmarkEnd w:id="8"/>
      <w:bookmarkEnd w:id="9"/>
      <w:r>
        <w:rPr>
          <w:rFonts w:hint="eastAsia" w:ascii="宋体" w:hAnsi="宋体" w:eastAsia="宋体" w:cs="宋体"/>
          <w:color w:val="auto"/>
          <w:sz w:val="24"/>
          <w:szCs w:val="24"/>
          <w:highlight w:val="none"/>
        </w:rPr>
        <w:t>注(即资产负债表、利润表、现金流量表、所有者权益变动表及其附注（附注没有固定格式。附注是对资产负债表、利润表、现金流量表和所有者权益变动表等报表中列示项目的文字描述或明细资料，以及对未能在这些报表中列示项目的说明等。附注是财务报表不可或缺的组成部分。）)</w:t>
      </w:r>
    </w:p>
    <w:p>
      <w:pPr>
        <w:spacing w:line="360" w:lineRule="auto"/>
        <w:ind w:left="1321"/>
        <w:rPr>
          <w:rFonts w:hint="eastAsia" w:ascii="宋体" w:hAnsi="宋体" w:eastAsia="宋体" w:cs="宋体"/>
          <w:color w:val="auto"/>
          <w:sz w:val="24"/>
          <w:szCs w:val="24"/>
          <w:highlight w:val="none"/>
        </w:rPr>
      </w:pPr>
    </w:p>
    <w:tbl>
      <w:tblPr>
        <w:tblStyle w:val="12"/>
        <w:tblW w:w="0" w:type="auto"/>
        <w:tblInd w:w="94" w:type="dxa"/>
        <w:tblLayout w:type="fixed"/>
        <w:tblCellMar>
          <w:top w:w="0" w:type="dxa"/>
          <w:left w:w="108" w:type="dxa"/>
          <w:bottom w:w="0" w:type="dxa"/>
          <w:right w:w="108" w:type="dxa"/>
        </w:tblCellMar>
      </w:tblPr>
      <w:tblGrid>
        <w:gridCol w:w="3558"/>
        <w:gridCol w:w="1134"/>
        <w:gridCol w:w="1418"/>
        <w:gridCol w:w="1134"/>
        <w:gridCol w:w="3118"/>
        <w:gridCol w:w="1418"/>
        <w:gridCol w:w="1134"/>
        <w:gridCol w:w="1417"/>
      </w:tblGrid>
      <w:tr>
        <w:tblPrEx>
          <w:tblCellMar>
            <w:top w:w="0" w:type="dxa"/>
            <w:left w:w="108" w:type="dxa"/>
            <w:bottom w:w="0" w:type="dxa"/>
            <w:right w:w="108" w:type="dxa"/>
          </w:tblCellMar>
        </w:tblPrEx>
        <w:trPr>
          <w:trHeight w:val="60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hint="eastAsia" w:ascii="宋体" w:hAnsi="宋体" w:eastAsia="宋体" w:cs="宋体"/>
                <w:b/>
                <w:bCs/>
                <w:color w:val="auto"/>
                <w:kern w:val="0"/>
                <w:sz w:val="24"/>
                <w:szCs w:val="24"/>
                <w:highlight w:val="none"/>
              </w:rPr>
            </w:pPr>
            <w:bookmarkStart w:id="10" w:name="RANGE!A1:H65"/>
            <w:r>
              <w:rPr>
                <w:rFonts w:hint="eastAsia" w:ascii="宋体" w:hAnsi="宋体" w:eastAsia="宋体" w:cs="宋体"/>
                <w:b/>
                <w:bCs/>
                <w:color w:val="auto"/>
                <w:kern w:val="0"/>
                <w:sz w:val="24"/>
                <w:szCs w:val="24"/>
                <w:highlight w:val="none"/>
              </w:rPr>
              <w:t>资 产 负 债 表</w:t>
            </w:r>
            <w:bookmarkEnd w:id="10"/>
          </w:p>
        </w:tc>
      </w:tr>
      <w:tr>
        <w:tblPrEx>
          <w:tblCellMar>
            <w:top w:w="0" w:type="dxa"/>
            <w:left w:w="108" w:type="dxa"/>
            <w:bottom w:w="0" w:type="dxa"/>
            <w:right w:w="108" w:type="dxa"/>
          </w:tblCellMar>
        </w:tblPrEx>
        <w:trPr>
          <w:trHeight w:val="33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年12月31日</w:t>
            </w:r>
          </w:p>
        </w:tc>
      </w:tr>
      <w:tr>
        <w:tblPrEx>
          <w:tblCellMar>
            <w:top w:w="0" w:type="dxa"/>
            <w:left w:w="108" w:type="dxa"/>
            <w:bottom w:w="0" w:type="dxa"/>
            <w:right w:w="108" w:type="dxa"/>
          </w:tblCellMar>
        </w:tblPrEx>
        <w:trPr>
          <w:trHeight w:val="45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tblPrEx>
          <w:tblCellMar>
            <w:top w:w="0" w:type="dxa"/>
            <w:left w:w="108" w:type="dxa"/>
            <w:bottom w:w="0" w:type="dxa"/>
            <w:right w:w="108" w:type="dxa"/>
          </w:tblCellMar>
        </w:tblPrEx>
        <w:trPr>
          <w:trHeight w:val="36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年末余额</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年初余额</w:t>
            </w:r>
          </w:p>
        </w:tc>
        <w:tc>
          <w:tcPr>
            <w:tcW w:w="31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年末余额</w:t>
            </w:r>
          </w:p>
        </w:tc>
        <w:tc>
          <w:tcPr>
            <w:tcW w:w="141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年初余额</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流动资产：</w:t>
            </w:r>
          </w:p>
        </w:tc>
        <w:tc>
          <w:tcPr>
            <w:tcW w:w="1134" w:type="dxa"/>
            <w:tcBorders>
              <w:top w:val="nil"/>
              <w:left w:val="nil"/>
              <w:bottom w:val="single" w:color="auto" w:sz="4" w:space="0"/>
              <w:right w:val="single" w:color="auto" w:sz="4" w:space="0"/>
            </w:tcBorders>
            <w:noWrap/>
            <w:vAlign w:val="center"/>
          </w:tcPr>
          <w:p>
            <w:pPr>
              <w:widowControl/>
              <w:tabs>
                <w:tab w:val="left" w:pos="261"/>
              </w:tabs>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流动负债：</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货币资金</w:t>
            </w:r>
          </w:p>
        </w:tc>
        <w:tc>
          <w:tcPr>
            <w:tcW w:w="1134" w:type="dxa"/>
            <w:tcBorders>
              <w:top w:val="nil"/>
              <w:left w:val="nil"/>
              <w:bottom w:val="single" w:color="auto" w:sz="4" w:space="0"/>
              <w:right w:val="single" w:color="auto" w:sz="4" w:space="0"/>
            </w:tcBorders>
            <w:shd w:val="clear" w:color="auto" w:fill="auto"/>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w:t>
            </w:r>
          </w:p>
        </w:tc>
        <w:tc>
          <w:tcPr>
            <w:tcW w:w="1418"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短期借款</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以公允价值计量且其变动计入当期损益的金融资产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以公允价值计量且其变动计入当期损益的金融负债</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6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衍生金融资产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衍生金融负债</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应收票据</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应付票据</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应收账款</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应付账款</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七、10</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预付款项</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七、3</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预收款项</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七、11</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应收利息</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应付职工薪酬</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七、12</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应收股利</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其中：应付工资</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七、12</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其他应收款</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七、4</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应付福利费</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存货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七、5</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应交税费</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七、13</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其中：原材料</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其中：应交税金</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七、13</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库存商品（产成品）</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应付利息</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划分为持有待售的资产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应付股利</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七、14</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一年内到期的非流动资产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其他应付款</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七、15</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其他流动资产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七、6</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划分为持有待售的负债</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流动资产合计</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一年内到期的非流动负债</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其他流动负债</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流动负债合计</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非流动资产：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非流动负债：</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可供出售金融资产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长期借款</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持有至到期投资</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应付债券</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长期应收款</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长期应付款</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长期股权投资</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长期应付职工薪酬</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投资性房地产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专项应付款</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固定资产原价</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预计负债</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减：累计折旧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递延收益</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固定资产净值</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递延所得税负债</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减：固定资产减值准备</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其他非流动负债</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固定资产净额</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其中：特准储备基金</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在建工程</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非流动负债合计</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工程物资</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负 债 合 计</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固定资产清理</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生产性生物资产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实收资本</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油气资产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国有资本</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无形资产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其中：国有法人资本</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开发支出</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集体资本</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商誉</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民营资本</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长期待摊费用</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七、8</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其中：个人资本</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递延所得税资产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七、9</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外商资本</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其他非流动资产</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#减：已归还投资</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其中：特准储备物资</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实收资本（或股本）净额</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非流动资产合计</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其他权益工具</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其中：优先股</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永续债</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资本公积</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减：库存股</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其他综合收益</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其中：外币报表折算差额</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专项储备</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盈余公积</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七、17</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其中：法定公积金</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七、17</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任意公积金</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△一般风险准备</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未分配利润</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归属于母公司所有者权益合计</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9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rPr>
              <w:t>少数股东权益</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所有者权益合计</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795"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资  产  总  计</w:t>
            </w:r>
          </w:p>
        </w:tc>
        <w:tc>
          <w:tcPr>
            <w:tcW w:w="11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负债和所有者权益总计</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tc>
        <w:tc>
          <w:tcPr>
            <w:tcW w:w="1134" w:type="dxa"/>
            <w:tcBorders>
              <w:top w:val="nil"/>
              <w:left w:val="nil"/>
              <w:bottom w:val="single" w:color="auto" w:sz="4" w:space="0"/>
              <w:right w:val="single" w:color="auto" w:sz="4" w:space="0"/>
            </w:tcBorders>
            <w:noWrap/>
            <w:vAlign w:val="bottom"/>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bottom"/>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bottom"/>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tbl>
      <w:tblPr>
        <w:tblStyle w:val="12"/>
        <w:tblW w:w="0" w:type="auto"/>
        <w:tblInd w:w="94" w:type="dxa"/>
        <w:tblLayout w:type="fixed"/>
        <w:tblCellMar>
          <w:top w:w="0" w:type="dxa"/>
          <w:left w:w="108" w:type="dxa"/>
          <w:bottom w:w="0" w:type="dxa"/>
          <w:right w:w="108" w:type="dxa"/>
        </w:tblCellMar>
      </w:tblPr>
      <w:tblGrid>
        <w:gridCol w:w="10027"/>
        <w:gridCol w:w="727"/>
        <w:gridCol w:w="988"/>
        <w:gridCol w:w="2589"/>
      </w:tblGrid>
      <w:tr>
        <w:tblPrEx>
          <w:tblCellMar>
            <w:top w:w="0" w:type="dxa"/>
            <w:left w:w="108" w:type="dxa"/>
            <w:bottom w:w="0" w:type="dxa"/>
            <w:right w:w="108" w:type="dxa"/>
          </w:tblCellMar>
        </w:tblPrEx>
        <w:trPr>
          <w:trHeight w:val="60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hint="eastAsia" w:ascii="宋体" w:hAnsi="宋体" w:eastAsia="宋体" w:cs="宋体"/>
                <w:b/>
                <w:bCs/>
                <w:color w:val="auto"/>
                <w:kern w:val="0"/>
                <w:sz w:val="24"/>
                <w:szCs w:val="24"/>
                <w:highlight w:val="none"/>
              </w:rPr>
            </w:pPr>
            <w:bookmarkStart w:id="11" w:name="RANGE!A1:D54"/>
            <w:r>
              <w:rPr>
                <w:rFonts w:hint="eastAsia" w:ascii="宋体" w:hAnsi="宋体" w:eastAsia="宋体" w:cs="宋体"/>
                <w:b/>
                <w:bCs/>
                <w:color w:val="auto"/>
                <w:kern w:val="0"/>
                <w:sz w:val="24"/>
                <w:szCs w:val="24"/>
                <w:highlight w:val="none"/>
              </w:rPr>
              <w:t>利 润 表</w:t>
            </w:r>
            <w:bookmarkEnd w:id="11"/>
          </w:p>
        </w:tc>
      </w:tr>
      <w:tr>
        <w:tblPrEx>
          <w:tblCellMar>
            <w:top w:w="0" w:type="dxa"/>
            <w:left w:w="108" w:type="dxa"/>
            <w:bottom w:w="0" w:type="dxa"/>
            <w:right w:w="108" w:type="dxa"/>
          </w:tblCellMar>
        </w:tblPrEx>
        <w:trPr>
          <w:trHeight w:val="36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2589"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988"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258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一、营业总收入</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其中：营业收入</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二、营业总成本</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其中：营业成本</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营业税金及附加</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销售费用</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七、19</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管理费用</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其中：研究与开发费</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财务费用</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七、20</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其中：利息支出</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利息收入</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汇兑净损失（净收益以“－”号填列）</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资产减值损失</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七、21</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加：公允价值变动收益（损失以“－”号填列）</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投资收益（损失以“－”号填列）</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其中：对联营企业和合营企业的投资收益</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三、营业利润</w:t>
            </w:r>
            <w:r>
              <w:rPr>
                <w:rFonts w:hint="eastAsia" w:ascii="宋体" w:hAnsi="宋体" w:eastAsia="宋体" w:cs="宋体"/>
                <w:color w:val="auto"/>
                <w:kern w:val="0"/>
                <w:sz w:val="24"/>
                <w:szCs w:val="24"/>
                <w:highlight w:val="none"/>
              </w:rPr>
              <w:t>（亏损以“－”号填列）</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加：营业外收入</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七、22</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其中：非流动资产处置利得</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非货币性资产交换利得</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政府补助</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债务重组利得</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减：营业外支出</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七、23</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其中：非流动资产处置损失</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非货币性资产交换损失</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债务重组损失</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四、利润总额</w:t>
            </w:r>
            <w:r>
              <w:rPr>
                <w:rFonts w:hint="eastAsia" w:ascii="宋体" w:hAnsi="宋体" w:eastAsia="宋体" w:cs="宋体"/>
                <w:color w:val="auto"/>
                <w:kern w:val="0"/>
                <w:sz w:val="24"/>
                <w:szCs w:val="24"/>
                <w:highlight w:val="none"/>
              </w:rPr>
              <w:t>（亏损总额以“－”号填列）</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减：所得税费用</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七、24</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五、净利润</w:t>
            </w:r>
            <w:r>
              <w:rPr>
                <w:rFonts w:hint="eastAsia" w:ascii="宋体" w:hAnsi="宋体" w:eastAsia="宋体" w:cs="宋体"/>
                <w:color w:val="auto"/>
                <w:kern w:val="0"/>
                <w:sz w:val="24"/>
                <w:szCs w:val="24"/>
                <w:highlight w:val="none"/>
              </w:rPr>
              <w:t>（净亏损以“－”号填列）</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归属于母公司所有者的净利润</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六、其他综合收益的税后净额</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（一）以后不能重分类进损益的其他综合收益</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其中：1.重新计量设定受益计划净负债或净资产的变动</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720" w:hRule="atLeast"/>
        </w:trPr>
        <w:tc>
          <w:tcPr>
            <w:tcW w:w="10027" w:type="dxa"/>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2.权益法下在被投资单位不能重分类进损益的其他综合收益中享有的份额</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（二）以后将重分类进损益的其他综合收益</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675" w:hRule="atLeast"/>
        </w:trPr>
        <w:tc>
          <w:tcPr>
            <w:tcW w:w="10027" w:type="dxa"/>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其中：1.权益法下在被投资单位以后将重分类进损益的其他综合收益中享有的份额</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2.可供出售金融资产公允价值变动损益</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690" w:hRule="atLeast"/>
        </w:trPr>
        <w:tc>
          <w:tcPr>
            <w:tcW w:w="10027" w:type="dxa"/>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3.持有至到期投资重分类为可供出售金融资产损益</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4.现金流量套期损益的有效部分</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5.外币财务报表折算差额</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pPr>
              <w:widowControl/>
              <w:spacing w:line="360" w:lineRule="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七、综合收益总额</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pPr>
              <w:widowControl/>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归属于母公司所有者的综合收益总额</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八、每股收益：</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基本每股收益</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pPr>
              <w:widowControl/>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稀释每股收益</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bottom"/>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shd w:val="clear" w:color="000000" w:fill="FFFF00"/>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rPr>
              <w:t>表中带*科目为合并会计报表专业；</w:t>
            </w:r>
            <w:r>
              <w:rPr>
                <w:rFonts w:hint="eastAsia" w:ascii="宋体" w:hAnsi="宋体" w:eastAsia="宋体" w:cs="宋体"/>
                <w:color w:val="auto"/>
                <w:kern w:val="0"/>
                <w:sz w:val="24"/>
                <w:szCs w:val="24"/>
                <w:highlight w:val="none"/>
              </w:rPr>
              <w:t>加△项目为金融类企业专用。</w:t>
            </w:r>
          </w:p>
        </w:tc>
        <w:tc>
          <w:tcPr>
            <w:tcW w:w="258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pPr>
        <w:spacing w:line="360" w:lineRule="auto"/>
        <w:rPr>
          <w:rFonts w:hint="eastAsia" w:ascii="宋体" w:hAnsi="宋体" w:eastAsia="宋体" w:cs="宋体"/>
          <w:color w:val="auto"/>
          <w:sz w:val="24"/>
          <w:szCs w:val="24"/>
          <w:highlight w:val="none"/>
        </w:rPr>
      </w:pPr>
    </w:p>
    <w:tbl>
      <w:tblPr>
        <w:tblStyle w:val="12"/>
        <w:tblW w:w="0" w:type="auto"/>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3"/>
        <w:gridCol w:w="669"/>
        <w:gridCol w:w="358"/>
        <w:gridCol w:w="1396"/>
        <w:gridCol w:w="89"/>
        <w:gridCol w:w="1559"/>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331" w:type="dxa"/>
            <w:gridSpan w:val="7"/>
            <w:noWrap/>
            <w:vAlign w:val="center"/>
          </w:tcPr>
          <w:p>
            <w:pPr>
              <w:widowControl/>
              <w:spacing w:line="360" w:lineRule="auto"/>
              <w:jc w:val="center"/>
              <w:rPr>
                <w:rFonts w:hint="eastAsia" w:ascii="宋体" w:hAnsi="宋体" w:eastAsia="宋体" w:cs="宋体"/>
                <w:bCs/>
                <w:color w:val="auto"/>
                <w:kern w:val="0"/>
                <w:sz w:val="24"/>
                <w:szCs w:val="24"/>
                <w:highlight w:val="none"/>
              </w:rPr>
            </w:pPr>
            <w:bookmarkStart w:id="12" w:name="RANGE!A1:D47"/>
            <w:r>
              <w:rPr>
                <w:rFonts w:hint="eastAsia" w:ascii="宋体" w:hAnsi="宋体" w:eastAsia="宋体" w:cs="宋体"/>
                <w:bCs/>
                <w:color w:val="auto"/>
                <w:kern w:val="0"/>
                <w:sz w:val="24"/>
                <w:szCs w:val="24"/>
                <w:highlight w:val="none"/>
              </w:rPr>
              <w:t>现 金 流 量 表</w:t>
            </w:r>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95" w:type="dxa"/>
            <w:gridSpan w:val="5"/>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1559" w:type="dxa"/>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559" w:type="dxa"/>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2977" w:type="dxa"/>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一、经营活动产生的现金流量：</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销售商品、提供劳务收到的现金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收到的税费返还</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收到其他与经营活动有关的现金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七、25</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经营活动现金流入小计</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购买商品、接受劳务支付的现金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支付给职工以及为职工支付的现金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支付的各项税费</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支付其他与经营活动有关的现金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七、25</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经营活动现金流出小计</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经营活动产生的现金流量净额</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二、投资活动产生的现金流量：</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收回投资收到的现金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取得投资收益收到的现金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952" w:type="dxa"/>
            <w:gridSpan w:val="2"/>
            <w:shd w:val="clear" w:color="000000" w:fill="FFFFFF"/>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处置固定资产、无形资产和其他长期资产所收回的现金净额</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处置子公司及其他营业单位收回的现金净额</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收到其他与投资活动有关的现金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投资活动现金流入小计</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7952" w:type="dxa"/>
            <w:gridSpan w:val="2"/>
            <w:shd w:val="clear" w:color="000000" w:fill="FFFFFF"/>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购建固定资产、无形资产和其他长期资产所支付的现金</w:t>
            </w:r>
          </w:p>
        </w:tc>
        <w:tc>
          <w:tcPr>
            <w:tcW w:w="1843" w:type="dxa"/>
            <w:gridSpan w:val="3"/>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投资支付的现金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取得子公司及其他营业单位支付的现金净额</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支付其他与投资活动有关的现金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投资活动现金流出小计</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投资活动产生的现金流量净额</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三、筹资活动产生的现金流量：</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吸收投资收到的现金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其中：子公司吸收少数股东投资收到的现金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取得借款所收到的现金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收到其他与筹资活动有关的现金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筹资活动现金流入小计</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偿还债务所支付的现金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分配股利、利润或偿付利息所支付的现金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其中：子公司支付给少数股东的股利、利润</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支付其他与筹资活动有关的现金</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筹资活动现金流出小计</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筹资活动产生的现金流量净额</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auto" w:fill="auto"/>
            <w:noWrap/>
            <w:vAlign w:val="center"/>
          </w:tcPr>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四、汇率变动对现金及现金等价物的影响</w:t>
            </w:r>
          </w:p>
        </w:tc>
        <w:tc>
          <w:tcPr>
            <w:tcW w:w="1843" w:type="dxa"/>
            <w:gridSpan w:val="3"/>
            <w:shd w:val="clear" w:color="auto" w:fill="auto"/>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shd w:val="clear" w:color="000000" w:fill="FFFF00"/>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五、现金及现金等价物净增加额</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加：期初现金及现金等价物余额</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六、期末现金及现金等价物余额</w:t>
            </w:r>
          </w:p>
        </w:tc>
        <w:tc>
          <w:tcPr>
            <w:tcW w:w="1843" w:type="dxa"/>
            <w:gridSpan w:val="3"/>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1843" w:type="dxa"/>
            <w:gridSpan w:val="3"/>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1559" w:type="dxa"/>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2977" w:type="dxa"/>
            <w:noWrap/>
            <w:vAlign w:val="center"/>
          </w:tcPr>
          <w:p>
            <w:pPr>
              <w:widowControl/>
              <w:spacing w:line="360" w:lineRule="auto"/>
              <w:jc w:val="left"/>
              <w:rPr>
                <w:rFonts w:hint="eastAsia" w:ascii="宋体" w:hAnsi="宋体" w:eastAsia="宋体" w:cs="宋体"/>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企业负责人：                主管会计工作负责人：              会计机构负责人：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pPr>
              <w:widowControl/>
              <w:spacing w:line="360" w:lineRule="auto"/>
              <w:jc w:val="left"/>
              <w:rPr>
                <w:rFonts w:hint="eastAsia" w:ascii="宋体" w:hAnsi="宋体" w:eastAsia="宋体" w:cs="宋体"/>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pPr>
              <w:widowControl/>
              <w:spacing w:line="360" w:lineRule="auto"/>
              <w:jc w:val="left"/>
              <w:rPr>
                <w:rFonts w:hint="eastAsia" w:ascii="宋体" w:hAnsi="宋体" w:eastAsia="宋体" w:cs="宋体"/>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pPr>
              <w:widowControl/>
              <w:spacing w:line="360" w:lineRule="auto"/>
              <w:jc w:val="left"/>
              <w:rPr>
                <w:rFonts w:hint="eastAsia" w:ascii="宋体" w:hAnsi="宋体" w:eastAsia="宋体" w:cs="宋体"/>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06" w:type="dxa"/>
            <w:gridSpan w:val="4"/>
            <w:shd w:val="clear" w:color="000000" w:fill="FFFF00"/>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注：加△楷体项目为金融类企业专用。</w:t>
            </w:r>
          </w:p>
        </w:tc>
        <w:tc>
          <w:tcPr>
            <w:tcW w:w="4625" w:type="dxa"/>
            <w:gridSpan w:val="3"/>
            <w:noWrap/>
            <w:vAlign w:val="center"/>
          </w:tcPr>
          <w:p>
            <w:pPr>
              <w:widowControl/>
              <w:spacing w:line="360" w:lineRule="auto"/>
              <w:jc w:val="left"/>
              <w:rPr>
                <w:rFonts w:hint="eastAsia" w:ascii="宋体" w:hAnsi="宋体" w:eastAsia="宋体" w:cs="宋体"/>
                <w:color w:val="auto"/>
                <w:kern w:val="0"/>
                <w:sz w:val="24"/>
                <w:szCs w:val="24"/>
                <w:highlight w:val="none"/>
              </w:rPr>
            </w:pPr>
          </w:p>
        </w:tc>
      </w:tr>
    </w:tbl>
    <w:p>
      <w:pPr>
        <w:spacing w:line="360" w:lineRule="auto"/>
        <w:ind w:left="1321"/>
        <w:rPr>
          <w:rFonts w:hint="eastAsia" w:ascii="宋体" w:hAnsi="宋体" w:eastAsia="宋体" w:cs="宋体"/>
          <w:color w:val="auto"/>
          <w:sz w:val="24"/>
          <w:szCs w:val="24"/>
          <w:highlight w:val="none"/>
        </w:rPr>
      </w:pPr>
    </w:p>
    <w:p>
      <w:pPr>
        <w:spacing w:line="360" w:lineRule="auto"/>
        <w:ind w:left="1321"/>
        <w:rPr>
          <w:rFonts w:hint="eastAsia" w:ascii="宋体" w:hAnsi="宋体" w:eastAsia="宋体" w:cs="宋体"/>
          <w:color w:val="auto"/>
          <w:sz w:val="24"/>
          <w:szCs w:val="24"/>
          <w:highlight w:val="none"/>
        </w:rPr>
      </w:pPr>
    </w:p>
    <w:tbl>
      <w:tblPr>
        <w:tblStyle w:val="12"/>
        <w:tblW w:w="0" w:type="auto"/>
        <w:tblInd w:w="94" w:type="dxa"/>
        <w:tblLayout w:type="fixed"/>
        <w:tblCellMar>
          <w:top w:w="0" w:type="dxa"/>
          <w:left w:w="108" w:type="dxa"/>
          <w:bottom w:w="0" w:type="dxa"/>
          <w:right w:w="108" w:type="dxa"/>
        </w:tblCellMar>
      </w:tblPr>
      <w:tblGrid>
        <w:gridCol w:w="3700"/>
        <w:gridCol w:w="709"/>
        <w:gridCol w:w="425"/>
        <w:gridCol w:w="780"/>
        <w:gridCol w:w="406"/>
        <w:gridCol w:w="660"/>
        <w:gridCol w:w="396"/>
        <w:gridCol w:w="414"/>
        <w:gridCol w:w="451"/>
        <w:gridCol w:w="426"/>
        <w:gridCol w:w="461"/>
        <w:gridCol w:w="396"/>
        <w:gridCol w:w="443"/>
        <w:gridCol w:w="434"/>
        <w:gridCol w:w="396"/>
        <w:gridCol w:w="396"/>
        <w:gridCol w:w="606"/>
        <w:gridCol w:w="396"/>
        <w:gridCol w:w="396"/>
        <w:gridCol w:w="400"/>
        <w:gridCol w:w="396"/>
        <w:gridCol w:w="401"/>
        <w:gridCol w:w="396"/>
        <w:gridCol w:w="396"/>
      </w:tblGrid>
      <w:tr>
        <w:tblPrEx>
          <w:tblCellMar>
            <w:top w:w="0" w:type="dxa"/>
            <w:left w:w="108" w:type="dxa"/>
            <w:bottom w:w="0" w:type="dxa"/>
            <w:right w:w="108" w:type="dxa"/>
          </w:tblCellMar>
        </w:tblPrEx>
        <w:trPr>
          <w:trHeight w:val="60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pPr>
              <w:widowControl/>
              <w:tabs>
                <w:tab w:val="left" w:pos="14917"/>
              </w:tabs>
              <w:spacing w:line="360" w:lineRule="auto"/>
              <w:jc w:val="center"/>
              <w:rPr>
                <w:rFonts w:hint="eastAsia" w:ascii="宋体" w:hAnsi="宋体" w:eastAsia="宋体" w:cs="宋体"/>
                <w:b/>
                <w:bCs/>
                <w:color w:val="auto"/>
                <w:kern w:val="0"/>
                <w:sz w:val="24"/>
                <w:szCs w:val="24"/>
                <w:highlight w:val="none"/>
              </w:rPr>
            </w:pPr>
            <w:bookmarkStart w:id="13" w:name="RANGE!A1:X29"/>
            <w:r>
              <w:rPr>
                <w:rFonts w:hint="eastAsia" w:ascii="宋体" w:hAnsi="宋体" w:eastAsia="宋体" w:cs="宋体"/>
                <w:b/>
                <w:bCs/>
                <w:color w:val="auto"/>
                <w:kern w:val="0"/>
                <w:sz w:val="24"/>
                <w:szCs w:val="24"/>
                <w:highlight w:val="none"/>
              </w:rPr>
              <w:t>所有者权益变动表</w:t>
            </w:r>
            <w:bookmarkEnd w:id="13"/>
          </w:p>
        </w:tc>
      </w:tr>
      <w:tr>
        <w:tblPrEx>
          <w:tblCellMar>
            <w:top w:w="0" w:type="dxa"/>
            <w:left w:w="108" w:type="dxa"/>
            <w:bottom w:w="0" w:type="dxa"/>
            <w:right w:w="108" w:type="dxa"/>
          </w:tblCellMar>
        </w:tblPrEx>
        <w:trPr>
          <w:trHeight w:val="36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tblPrEx>
          <w:tblCellMar>
            <w:top w:w="0" w:type="dxa"/>
            <w:left w:w="108" w:type="dxa"/>
            <w:bottom w:w="0" w:type="dxa"/>
            <w:right w:w="108" w:type="dxa"/>
          </w:tblCellMar>
        </w:tblPrEx>
        <w:trPr>
          <w:trHeight w:val="51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70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5"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700" w:type="dxa"/>
            <w:vMerge w:val="restart"/>
            <w:tcBorders>
              <w:top w:val="nil"/>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709" w:type="dxa"/>
            <w:vMerge w:val="restart"/>
            <w:tcBorders>
              <w:top w:val="nil"/>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行次</w:t>
            </w:r>
          </w:p>
        </w:tc>
        <w:tc>
          <w:tcPr>
            <w:tcW w:w="5258" w:type="dxa"/>
            <w:gridSpan w:val="11"/>
            <w:tcBorders>
              <w:top w:val="single" w:color="auto" w:sz="4" w:space="0"/>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4613" w:type="dxa"/>
            <w:gridSpan w:val="11"/>
            <w:tcBorders>
              <w:top w:val="single" w:color="auto" w:sz="4" w:space="0"/>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tblPrEx>
          <w:tblCellMar>
            <w:top w:w="0" w:type="dxa"/>
            <w:left w:w="108" w:type="dxa"/>
            <w:bottom w:w="0" w:type="dxa"/>
            <w:right w:w="108" w:type="dxa"/>
          </w:tblCellMar>
        </w:tblPrEx>
        <w:trPr>
          <w:trHeight w:val="1080" w:hRule="atLeast"/>
        </w:trPr>
        <w:tc>
          <w:tcPr>
            <w:tcW w:w="3700"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p>
        </w:tc>
        <w:tc>
          <w:tcPr>
            <w:tcW w:w="425"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实收资本</w:t>
            </w:r>
          </w:p>
        </w:tc>
        <w:tc>
          <w:tcPr>
            <w:tcW w:w="780"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其他权益工具</w:t>
            </w:r>
          </w:p>
        </w:tc>
        <w:tc>
          <w:tcPr>
            <w:tcW w:w="406"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资本公积</w:t>
            </w:r>
          </w:p>
        </w:tc>
        <w:tc>
          <w:tcPr>
            <w:tcW w:w="660"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减：库存股</w:t>
            </w:r>
          </w:p>
        </w:tc>
        <w:tc>
          <w:tcPr>
            <w:tcW w:w="396"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其他综合收益</w:t>
            </w:r>
          </w:p>
        </w:tc>
        <w:tc>
          <w:tcPr>
            <w:tcW w:w="414"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专项储备</w:t>
            </w:r>
          </w:p>
        </w:tc>
        <w:tc>
          <w:tcPr>
            <w:tcW w:w="451"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盈余公积</w:t>
            </w:r>
          </w:p>
        </w:tc>
        <w:tc>
          <w:tcPr>
            <w:tcW w:w="426"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△一般风险</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准备</w:t>
            </w:r>
          </w:p>
        </w:tc>
        <w:tc>
          <w:tcPr>
            <w:tcW w:w="461"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未分配利润</w:t>
            </w:r>
          </w:p>
        </w:tc>
        <w:tc>
          <w:tcPr>
            <w:tcW w:w="396"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w:t>
            </w:r>
          </w:p>
        </w:tc>
        <w:tc>
          <w:tcPr>
            <w:tcW w:w="443"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所有者权益合计</w:t>
            </w:r>
          </w:p>
        </w:tc>
        <w:tc>
          <w:tcPr>
            <w:tcW w:w="434"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实收资本</w:t>
            </w:r>
          </w:p>
        </w:tc>
        <w:tc>
          <w:tcPr>
            <w:tcW w:w="396"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其他权益工具</w:t>
            </w:r>
          </w:p>
        </w:tc>
        <w:tc>
          <w:tcPr>
            <w:tcW w:w="396"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资本公积</w:t>
            </w:r>
          </w:p>
        </w:tc>
        <w:tc>
          <w:tcPr>
            <w:tcW w:w="606"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减：库存股</w:t>
            </w:r>
          </w:p>
        </w:tc>
        <w:tc>
          <w:tcPr>
            <w:tcW w:w="396"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其他综合收益</w:t>
            </w:r>
          </w:p>
        </w:tc>
        <w:tc>
          <w:tcPr>
            <w:tcW w:w="396"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专项储备</w:t>
            </w:r>
          </w:p>
        </w:tc>
        <w:tc>
          <w:tcPr>
            <w:tcW w:w="400"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盈余公积</w:t>
            </w:r>
          </w:p>
        </w:tc>
        <w:tc>
          <w:tcPr>
            <w:tcW w:w="396"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△一般风险准备</w:t>
            </w:r>
          </w:p>
        </w:tc>
        <w:tc>
          <w:tcPr>
            <w:tcW w:w="401"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未分配利润</w:t>
            </w:r>
          </w:p>
        </w:tc>
        <w:tc>
          <w:tcPr>
            <w:tcW w:w="396"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w:t>
            </w:r>
          </w:p>
        </w:tc>
        <w:tc>
          <w:tcPr>
            <w:tcW w:w="396"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所有者权益合计</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栏            次</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p>
        </w:tc>
        <w:tc>
          <w:tcPr>
            <w:tcW w:w="425"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780"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406"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660"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396"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41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p>
        </w:tc>
        <w:tc>
          <w:tcPr>
            <w:tcW w:w="451"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p>
        </w:tc>
        <w:tc>
          <w:tcPr>
            <w:tcW w:w="426"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w:t>
            </w:r>
          </w:p>
        </w:tc>
        <w:tc>
          <w:tcPr>
            <w:tcW w:w="461"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p>
        </w:tc>
        <w:tc>
          <w:tcPr>
            <w:tcW w:w="396"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w:t>
            </w:r>
          </w:p>
        </w:tc>
        <w:tc>
          <w:tcPr>
            <w:tcW w:w="443"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p>
        </w:tc>
        <w:tc>
          <w:tcPr>
            <w:tcW w:w="434"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w:t>
            </w:r>
          </w:p>
        </w:tc>
        <w:tc>
          <w:tcPr>
            <w:tcW w:w="396"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w:t>
            </w:r>
          </w:p>
        </w:tc>
        <w:tc>
          <w:tcPr>
            <w:tcW w:w="396"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w:t>
            </w:r>
          </w:p>
        </w:tc>
        <w:tc>
          <w:tcPr>
            <w:tcW w:w="606"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w:t>
            </w:r>
          </w:p>
        </w:tc>
        <w:tc>
          <w:tcPr>
            <w:tcW w:w="396"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w:t>
            </w:r>
          </w:p>
        </w:tc>
        <w:tc>
          <w:tcPr>
            <w:tcW w:w="396"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w:t>
            </w:r>
          </w:p>
        </w:tc>
        <w:tc>
          <w:tcPr>
            <w:tcW w:w="400"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18</w:t>
            </w:r>
          </w:p>
        </w:tc>
        <w:tc>
          <w:tcPr>
            <w:tcW w:w="396"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w:t>
            </w:r>
          </w:p>
        </w:tc>
        <w:tc>
          <w:tcPr>
            <w:tcW w:w="401"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w:t>
            </w:r>
          </w:p>
        </w:tc>
        <w:tc>
          <w:tcPr>
            <w:tcW w:w="396"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21</w:t>
            </w:r>
          </w:p>
        </w:tc>
        <w:tc>
          <w:tcPr>
            <w:tcW w:w="396"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22</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一、上年年末余额</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加：会计政策变更</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前期差错更正</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二、本年年初余额</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1.提取专项储备</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2.使用专项储备</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（四）利润分配</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1.提取盈余公积</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其中：法定公积金</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18</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任意公积金</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2.提取一般风险准备</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23</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3.对所有者（或股东）的分配</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24</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4.其他</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25</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（五）所有者权益内部结转</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26</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1.资本公积转增资本（或股本）</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27</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2.盈余公积转增资本（或股本）</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28</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3.盈余公积弥补亏损</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29</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555" w:hRule="atLeast"/>
        </w:trPr>
        <w:tc>
          <w:tcPr>
            <w:tcW w:w="3700" w:type="dxa"/>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 结转重新计量设定受益计划净负债或净资产所产生的变动</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5.其他</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四、本年年末余额</w:t>
            </w:r>
          </w:p>
        </w:tc>
        <w:tc>
          <w:tcPr>
            <w:tcW w:w="709" w:type="dxa"/>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w:t>
            </w:r>
          </w:p>
        </w:tc>
        <w:tc>
          <w:tcPr>
            <w:tcW w:w="425"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tblPrEx>
          <w:tblCellMar>
            <w:top w:w="0" w:type="dxa"/>
            <w:left w:w="108" w:type="dxa"/>
            <w:bottom w:w="0" w:type="dxa"/>
            <w:right w:w="108" w:type="dxa"/>
          </w:tblCellMar>
        </w:tblPrEx>
        <w:trPr>
          <w:trHeight w:val="240" w:hRule="atLeast"/>
        </w:trPr>
        <w:tc>
          <w:tcPr>
            <w:tcW w:w="3700" w:type="dxa"/>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5"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40" w:hRule="atLeast"/>
        </w:trPr>
        <w:tc>
          <w:tcPr>
            <w:tcW w:w="14280" w:type="dxa"/>
            <w:gridSpan w:val="24"/>
            <w:tcBorders>
              <w:top w:val="nil"/>
              <w:left w:val="single" w:color="auto" w:sz="4" w:space="0"/>
              <w:bottom w:val="single" w:color="auto" w:sz="4" w:space="0"/>
              <w:right w:val="single" w:color="auto" w:sz="4" w:space="0"/>
            </w:tcBorders>
            <w:noWrap/>
            <w:vAlign w:val="center"/>
          </w:tcPr>
          <w:p>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p>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注：带#为外商投资企业专用，加△楷体项目为金融类企业专用。</w:t>
            </w:r>
          </w:p>
        </w:tc>
      </w:tr>
    </w:tbl>
    <w:p>
      <w:pPr>
        <w:spacing w:line="360" w:lineRule="auto"/>
        <w:ind w:left="1321"/>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32"/>
          <w:szCs w:val="32"/>
          <w:highlight w:val="none"/>
        </w:rPr>
      </w:pPr>
    </w:p>
    <w:p>
      <w:pPr>
        <w:spacing w:line="360" w:lineRule="auto"/>
        <w:rPr>
          <w:rFonts w:hint="eastAsia" w:ascii="宋体" w:hAnsi="宋体" w:eastAsia="宋体" w:cs="宋体"/>
          <w:color w:val="auto"/>
          <w:sz w:val="32"/>
          <w:szCs w:val="32"/>
          <w:highlight w:val="none"/>
        </w:rPr>
      </w:pPr>
    </w:p>
    <w:p>
      <w:pPr>
        <w:spacing w:line="360" w:lineRule="auto"/>
        <w:rPr>
          <w:rFonts w:hint="eastAsia" w:ascii="宋体" w:hAnsi="宋体" w:eastAsia="宋体" w:cs="宋体"/>
          <w:color w:val="auto"/>
          <w:sz w:val="32"/>
          <w:szCs w:val="32"/>
          <w:highlight w:val="none"/>
        </w:rPr>
      </w:pPr>
    </w:p>
    <w:p>
      <w:pPr>
        <w:spacing w:line="360" w:lineRule="auto"/>
        <w:rPr>
          <w:rFonts w:hint="eastAsia" w:ascii="宋体" w:hAnsi="宋体" w:eastAsia="宋体" w:cs="宋体"/>
          <w:color w:val="auto"/>
          <w:sz w:val="32"/>
          <w:szCs w:val="32"/>
          <w:highlight w:val="none"/>
        </w:rPr>
      </w:pPr>
    </w:p>
    <w:p>
      <w:pPr>
        <w:spacing w:line="360" w:lineRule="auto"/>
        <w:rPr>
          <w:rFonts w:hint="eastAsia" w:ascii="宋体" w:hAnsi="宋体" w:eastAsia="宋体" w:cs="宋体"/>
          <w:color w:val="auto"/>
          <w:sz w:val="32"/>
          <w:szCs w:val="32"/>
          <w:highlight w:val="none"/>
        </w:rPr>
      </w:pPr>
    </w:p>
    <w:p>
      <w:pPr>
        <w:spacing w:line="360" w:lineRule="auto"/>
        <w:rPr>
          <w:rFonts w:hint="eastAsia" w:ascii="宋体" w:hAnsi="宋体" w:eastAsia="宋体" w:cs="宋体"/>
          <w:color w:val="auto"/>
          <w:sz w:val="32"/>
          <w:szCs w:val="32"/>
          <w:highlight w:val="none"/>
        </w:rPr>
      </w:pPr>
    </w:p>
    <w:p>
      <w:pPr>
        <w:spacing w:line="360" w:lineRule="auto"/>
        <w:rPr>
          <w:rFonts w:hint="eastAsia" w:ascii="宋体" w:hAnsi="宋体" w:eastAsia="宋体" w:cs="宋体"/>
          <w:color w:val="auto"/>
          <w:sz w:val="32"/>
          <w:szCs w:val="32"/>
          <w:highlight w:val="none"/>
        </w:rPr>
      </w:pPr>
    </w:p>
    <w:p>
      <w:pPr>
        <w:spacing w:line="360" w:lineRule="auto"/>
        <w:rPr>
          <w:rFonts w:hint="eastAsia" w:ascii="宋体" w:hAnsi="宋体" w:eastAsia="宋体" w:cs="宋体"/>
          <w:color w:val="auto"/>
          <w:sz w:val="32"/>
          <w:szCs w:val="32"/>
          <w:highlight w:val="none"/>
        </w:rPr>
        <w:sectPr>
          <w:pgSz w:w="16838" w:h="11906" w:orient="landscape"/>
          <w:pgMar w:top="1800" w:right="1440" w:bottom="1800" w:left="1440" w:header="851" w:footer="992" w:gutter="0"/>
          <w:cols w:space="720" w:num="1"/>
          <w:docGrid w:type="lines" w:linePitch="312" w:charSpace="0"/>
        </w:sectPr>
      </w:pPr>
    </w:p>
    <w:p>
      <w:pPr>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附件2资信证明</w:t>
      </w:r>
    </w:p>
    <w:p>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资信证明</w:t>
      </w:r>
    </w:p>
    <w:p>
      <w:pPr>
        <w:spacing w:line="360" w:lineRule="auto"/>
        <w:ind w:right="480" w:firstLine="5880" w:firstLineChars="2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编号：        </w:t>
      </w:r>
    </w:p>
    <w:p>
      <w:pPr>
        <w:spacing w:line="360" w:lineRule="auto"/>
        <w:jc w:val="left"/>
        <w:rPr>
          <w:rFonts w:hint="eastAsia" w:ascii="宋体" w:hAnsi="宋体" w:eastAsia="宋体" w:cs="宋体"/>
          <w:color w:val="auto"/>
          <w:sz w:val="24"/>
          <w:szCs w:val="24"/>
          <w:highlight w:val="none"/>
        </w:rPr>
      </w:pPr>
    </w:p>
    <w:p>
      <w:pPr>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XXXXX有限公司成立于    年  月，注册资本为人民币X拾X亿X仟X佰X拾X万X仟X佰X拾X元整。</w:t>
      </w:r>
    </w:p>
    <w:p>
      <w:pPr>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该公司在我行开有人民币基本账户，直至目前为止，其账户往来正常，无不良记录。其一直与我行保持良好的合作关系，未发现不正常情况。</w:t>
      </w:r>
    </w:p>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特此证明。</w:t>
      </w:r>
    </w:p>
    <w:p>
      <w:pPr>
        <w:spacing w:line="360" w:lineRule="auto"/>
        <w:ind w:left="0" w:leftChars="0" w:right="480" w:firstLine="5520" w:firstLine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X银行股份有限公司 </w:t>
      </w:r>
    </w:p>
    <w:p>
      <w:pPr>
        <w:spacing w:line="360" w:lineRule="auto"/>
        <w:ind w:left="6240" w:hanging="6240" w:hangingChars="2600"/>
        <w:rPr>
          <w:rStyle w:val="14"/>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rPr>
        <w:t xml:space="preserve">                                                                                               年  月  日</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ind w:firstLine="5280" w:firstLineChars="1650"/>
        <w:rPr>
          <w:rFonts w:hint="eastAsia" w:ascii="宋体" w:hAnsi="宋体" w:eastAsia="宋体" w:cs="宋体"/>
          <w:color w:val="auto"/>
          <w:sz w:val="32"/>
          <w:szCs w:val="32"/>
          <w:highlight w:val="none"/>
        </w:rPr>
      </w:pPr>
    </w:p>
    <w:p>
      <w:pPr>
        <w:spacing w:line="360" w:lineRule="auto"/>
        <w:ind w:firstLine="5280" w:firstLineChars="1650"/>
        <w:rPr>
          <w:rFonts w:hint="eastAsia" w:ascii="宋体" w:hAnsi="宋体" w:eastAsia="宋体" w:cs="宋体"/>
          <w:color w:val="auto"/>
          <w:sz w:val="32"/>
          <w:szCs w:val="32"/>
          <w:highlight w:val="none"/>
        </w:rPr>
      </w:pPr>
    </w:p>
    <w:p>
      <w:pPr>
        <w:spacing w:line="360" w:lineRule="auto"/>
        <w:ind w:firstLine="5280" w:firstLineChars="1650"/>
        <w:rPr>
          <w:rFonts w:hint="eastAsia" w:ascii="宋体" w:hAnsi="宋体" w:eastAsia="宋体" w:cs="宋体"/>
          <w:color w:val="auto"/>
          <w:sz w:val="32"/>
          <w:szCs w:val="32"/>
          <w:highlight w:val="none"/>
        </w:rPr>
      </w:pPr>
    </w:p>
    <w:p>
      <w:pPr>
        <w:spacing w:line="360" w:lineRule="auto"/>
        <w:ind w:firstLine="5280" w:firstLineChars="1650"/>
        <w:rPr>
          <w:rFonts w:hint="eastAsia" w:ascii="宋体" w:hAnsi="宋体" w:eastAsia="宋体" w:cs="宋体"/>
          <w:color w:val="auto"/>
          <w:sz w:val="32"/>
          <w:szCs w:val="32"/>
          <w:highlight w:val="none"/>
        </w:rPr>
      </w:pPr>
    </w:p>
    <w:p>
      <w:pPr>
        <w:spacing w:line="360" w:lineRule="auto"/>
        <w:ind w:firstLine="5280" w:firstLineChars="1650"/>
        <w:rPr>
          <w:rFonts w:hint="eastAsia" w:ascii="宋体" w:hAnsi="宋体" w:eastAsia="宋体" w:cs="宋体"/>
          <w:color w:val="auto"/>
          <w:sz w:val="32"/>
          <w:szCs w:val="32"/>
          <w:highlight w:val="none"/>
        </w:rPr>
      </w:pPr>
    </w:p>
    <w:p>
      <w:pPr>
        <w:spacing w:line="360" w:lineRule="auto"/>
        <w:ind w:firstLine="5280" w:firstLineChars="1650"/>
        <w:rPr>
          <w:rFonts w:hint="eastAsia" w:ascii="宋体" w:hAnsi="宋体" w:eastAsia="宋体" w:cs="宋体"/>
          <w:color w:val="auto"/>
          <w:sz w:val="32"/>
          <w:szCs w:val="32"/>
          <w:highlight w:val="none"/>
        </w:rPr>
      </w:pPr>
    </w:p>
    <w:p>
      <w:pPr>
        <w:spacing w:line="360" w:lineRule="auto"/>
        <w:ind w:firstLine="5280" w:firstLineChars="1650"/>
        <w:rPr>
          <w:rFonts w:hint="eastAsia" w:ascii="宋体" w:hAnsi="宋体" w:eastAsia="宋体" w:cs="宋体"/>
          <w:color w:val="auto"/>
          <w:sz w:val="32"/>
          <w:szCs w:val="32"/>
          <w:highlight w:val="none"/>
        </w:rPr>
      </w:pPr>
    </w:p>
    <w:p>
      <w:pPr>
        <w:spacing w:line="360" w:lineRule="auto"/>
        <w:ind w:firstLine="5280" w:firstLineChars="1650"/>
        <w:rPr>
          <w:rFonts w:hint="eastAsia" w:ascii="宋体" w:hAnsi="宋体" w:eastAsia="宋体" w:cs="宋体"/>
          <w:color w:val="auto"/>
          <w:sz w:val="32"/>
          <w:szCs w:val="32"/>
          <w:highlight w:val="none"/>
        </w:rPr>
      </w:pPr>
    </w:p>
    <w:p>
      <w:pPr>
        <w:spacing w:line="360" w:lineRule="auto"/>
        <w:ind w:firstLine="5280" w:firstLineChars="1650"/>
        <w:rPr>
          <w:rFonts w:hint="eastAsia" w:ascii="宋体" w:hAnsi="宋体" w:eastAsia="宋体" w:cs="宋体"/>
          <w:color w:val="auto"/>
          <w:sz w:val="32"/>
          <w:szCs w:val="32"/>
          <w:highlight w:val="none"/>
        </w:rPr>
      </w:pPr>
    </w:p>
    <w:p>
      <w:pPr>
        <w:spacing w:line="360" w:lineRule="auto"/>
        <w:ind w:firstLine="3520" w:firstLineChars="11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质疑函要求</w:t>
      </w:r>
    </w:p>
    <w:p>
      <w:pPr>
        <w:spacing w:line="360" w:lineRule="auto"/>
        <w:ind w:firstLine="480" w:firstLineChars="200"/>
        <w:rPr>
          <w:rFonts w:hint="eastAsia" w:ascii="宋体" w:hAnsi="宋体" w:eastAsia="宋体" w:cs="宋体"/>
          <w:color w:val="auto"/>
          <w:sz w:val="24"/>
          <w:szCs w:val="24"/>
          <w:highlight w:val="none"/>
        </w:rPr>
      </w:pPr>
    </w:p>
    <w:p>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供应商提出质疑应当提交质疑函和必要的证明材料。质疑函应当包括下列内容：</w:t>
      </w:r>
    </w:p>
    <w:p>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(一)供应商的姓名或者名称、地址、邮编、联系人及联系电话;</w:t>
      </w:r>
    </w:p>
    <w:p>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(二)质疑项目的名称、编号;</w:t>
      </w:r>
    </w:p>
    <w:p>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(三)具体、明确的质疑事项和与质疑事项相关的请求;</w:t>
      </w:r>
    </w:p>
    <w:p>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(四)事实依据;</w:t>
      </w:r>
    </w:p>
    <w:p>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(五)必要的法律依据;</w:t>
      </w:r>
    </w:p>
    <w:p>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(六)提出质疑的日期。</w:t>
      </w:r>
    </w:p>
    <w:p>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供应商为自然人的，应当由本人签字;供应商为法人或者其他组织的，应当由法定代表人、主要负责人，或者其授权代表签字或者盖章，并加盖公章。</w:t>
      </w:r>
    </w:p>
    <w:p>
      <w:pPr>
        <w:pStyle w:val="10"/>
        <w:spacing w:before="0" w:beforeAutospacing="0" w:after="0" w:afterAutospacing="0" w:line="360" w:lineRule="auto"/>
        <w:rPr>
          <w:rFonts w:hint="eastAsia" w:eastAsia="宋体"/>
          <w:color w:val="auto"/>
          <w:kern w:val="2"/>
          <w:sz w:val="24"/>
          <w:szCs w:val="24"/>
          <w:highlight w:val="none"/>
        </w:rPr>
      </w:pPr>
    </w:p>
    <w:p>
      <w:pPr>
        <w:pStyle w:val="10"/>
        <w:spacing w:before="0" w:beforeAutospacing="0" w:after="0" w:afterAutospacing="0" w:line="360" w:lineRule="auto"/>
        <w:rPr>
          <w:rFonts w:hint="eastAsia" w:eastAsia="宋体"/>
          <w:color w:val="auto"/>
          <w:kern w:val="2"/>
          <w:sz w:val="24"/>
          <w:szCs w:val="24"/>
          <w:highlight w:val="none"/>
        </w:rPr>
      </w:pPr>
    </w:p>
    <w:p>
      <w:pPr>
        <w:pStyle w:val="10"/>
        <w:spacing w:before="0" w:beforeAutospacing="0" w:after="0" w:afterAutospacing="0" w:line="360" w:lineRule="auto"/>
        <w:rPr>
          <w:rFonts w:hint="eastAsia" w:eastAsia="宋体"/>
          <w:color w:val="auto"/>
          <w:kern w:val="2"/>
          <w:sz w:val="24"/>
          <w:szCs w:val="24"/>
          <w:highlight w:val="none"/>
        </w:rPr>
      </w:pPr>
    </w:p>
    <w:p>
      <w:pPr>
        <w:pStyle w:val="10"/>
        <w:spacing w:before="0" w:beforeAutospacing="0" w:after="0" w:afterAutospacing="0" w:line="360" w:lineRule="auto"/>
        <w:rPr>
          <w:rFonts w:hint="eastAsia" w:eastAsia="宋体"/>
          <w:color w:val="auto"/>
          <w:kern w:val="2"/>
          <w:sz w:val="24"/>
          <w:szCs w:val="24"/>
          <w:highlight w:val="none"/>
        </w:rPr>
      </w:pPr>
    </w:p>
    <w:p>
      <w:pPr>
        <w:pStyle w:val="10"/>
        <w:spacing w:before="0" w:beforeAutospacing="0" w:after="0" w:afterAutospacing="0" w:line="360" w:lineRule="auto"/>
        <w:rPr>
          <w:rFonts w:hint="eastAsia" w:eastAsia="宋体"/>
          <w:color w:val="auto"/>
          <w:kern w:val="2"/>
          <w:sz w:val="24"/>
          <w:szCs w:val="24"/>
          <w:highlight w:val="none"/>
        </w:rPr>
      </w:pPr>
    </w:p>
    <w:p>
      <w:pPr>
        <w:pStyle w:val="10"/>
        <w:spacing w:before="0" w:beforeAutospacing="0" w:after="0" w:afterAutospacing="0" w:line="360" w:lineRule="auto"/>
        <w:rPr>
          <w:rFonts w:hint="eastAsia" w:eastAsia="宋体"/>
          <w:color w:val="auto"/>
          <w:kern w:val="2"/>
          <w:sz w:val="24"/>
          <w:szCs w:val="24"/>
          <w:highlight w:val="none"/>
        </w:rPr>
      </w:pPr>
    </w:p>
    <w:p>
      <w:pPr>
        <w:pStyle w:val="10"/>
        <w:spacing w:before="0" w:beforeAutospacing="0" w:after="0" w:afterAutospacing="0" w:line="360" w:lineRule="auto"/>
        <w:rPr>
          <w:rFonts w:hint="eastAsia" w:eastAsia="宋体"/>
          <w:color w:val="auto"/>
          <w:kern w:val="2"/>
          <w:sz w:val="24"/>
          <w:szCs w:val="24"/>
          <w:highlight w:val="none"/>
        </w:rPr>
      </w:pPr>
    </w:p>
    <w:p>
      <w:pPr>
        <w:pStyle w:val="10"/>
        <w:spacing w:before="0" w:beforeAutospacing="0" w:after="0" w:afterAutospacing="0" w:line="360" w:lineRule="auto"/>
        <w:rPr>
          <w:rFonts w:hint="eastAsia" w:eastAsia="宋体"/>
          <w:color w:val="auto"/>
          <w:kern w:val="2"/>
          <w:sz w:val="24"/>
          <w:szCs w:val="24"/>
          <w:highlight w:val="none"/>
        </w:rPr>
      </w:pPr>
    </w:p>
    <w:p>
      <w:pPr>
        <w:pStyle w:val="10"/>
        <w:spacing w:before="0" w:beforeAutospacing="0" w:after="0" w:afterAutospacing="0" w:line="360" w:lineRule="auto"/>
        <w:rPr>
          <w:rFonts w:hint="eastAsia" w:eastAsia="宋体"/>
          <w:color w:val="auto"/>
          <w:kern w:val="2"/>
          <w:sz w:val="24"/>
          <w:szCs w:val="24"/>
          <w:highlight w:val="none"/>
        </w:rPr>
      </w:pPr>
    </w:p>
    <w:p>
      <w:pPr>
        <w:pStyle w:val="10"/>
        <w:spacing w:before="0" w:beforeAutospacing="0" w:after="0" w:afterAutospacing="0" w:line="360" w:lineRule="auto"/>
        <w:rPr>
          <w:rFonts w:hint="eastAsia" w:eastAsia="宋体"/>
          <w:color w:val="auto"/>
          <w:kern w:val="2"/>
          <w:sz w:val="24"/>
          <w:szCs w:val="24"/>
          <w:highlight w:val="none"/>
        </w:rPr>
      </w:pPr>
    </w:p>
    <w:p>
      <w:pPr>
        <w:pStyle w:val="10"/>
        <w:spacing w:before="0" w:beforeAutospacing="0" w:after="0" w:afterAutospacing="0" w:line="360" w:lineRule="auto"/>
        <w:rPr>
          <w:rFonts w:hint="eastAsia" w:eastAsia="宋体"/>
          <w:color w:val="auto"/>
          <w:kern w:val="2"/>
          <w:sz w:val="24"/>
          <w:szCs w:val="24"/>
          <w:highlight w:val="none"/>
        </w:rPr>
      </w:pPr>
    </w:p>
    <w:p>
      <w:pPr>
        <w:pStyle w:val="10"/>
        <w:spacing w:line="360" w:lineRule="auto"/>
        <w:ind w:firstLine="4800" w:firstLineChars="1500"/>
        <w:rPr>
          <w:rFonts w:hint="eastAsia" w:eastAsia="宋体"/>
          <w:color w:val="auto"/>
          <w:kern w:val="2"/>
          <w:sz w:val="32"/>
          <w:szCs w:val="32"/>
          <w:highlight w:val="none"/>
        </w:rPr>
      </w:pPr>
    </w:p>
    <w:p>
      <w:pPr>
        <w:pStyle w:val="10"/>
        <w:spacing w:line="360" w:lineRule="auto"/>
        <w:ind w:firstLine="4800" w:firstLineChars="1500"/>
        <w:rPr>
          <w:rFonts w:hint="eastAsia" w:eastAsia="宋体"/>
          <w:color w:val="auto"/>
          <w:kern w:val="2"/>
          <w:sz w:val="32"/>
          <w:szCs w:val="32"/>
          <w:highlight w:val="none"/>
        </w:rPr>
      </w:pPr>
    </w:p>
    <w:p>
      <w:pPr>
        <w:pStyle w:val="10"/>
        <w:spacing w:line="360" w:lineRule="auto"/>
        <w:ind w:firstLine="4800" w:firstLineChars="1500"/>
        <w:rPr>
          <w:rFonts w:hint="eastAsia" w:eastAsia="宋体"/>
          <w:color w:val="auto"/>
          <w:kern w:val="2"/>
          <w:sz w:val="32"/>
          <w:szCs w:val="32"/>
          <w:highlight w:val="none"/>
        </w:rPr>
      </w:pPr>
    </w:p>
    <w:p>
      <w:pPr>
        <w:pStyle w:val="10"/>
        <w:spacing w:line="360" w:lineRule="auto"/>
        <w:ind w:firstLine="3520" w:firstLineChars="1100"/>
        <w:rPr>
          <w:rFonts w:hint="eastAsia" w:eastAsia="宋体"/>
          <w:color w:val="auto"/>
          <w:kern w:val="2"/>
          <w:sz w:val="32"/>
          <w:szCs w:val="32"/>
          <w:highlight w:val="none"/>
        </w:rPr>
      </w:pPr>
      <w:r>
        <w:rPr>
          <w:rFonts w:hint="eastAsia" w:eastAsia="宋体"/>
          <w:color w:val="auto"/>
          <w:kern w:val="2"/>
          <w:sz w:val="32"/>
          <w:szCs w:val="32"/>
          <w:highlight w:val="none"/>
        </w:rPr>
        <w:t>评分响应要求</w:t>
      </w:r>
    </w:p>
    <w:tbl>
      <w:tblPr>
        <w:tblStyle w:val="12"/>
        <w:tblW w:w="8443" w:type="dxa"/>
        <w:tblInd w:w="0" w:type="dxa"/>
        <w:tblLayout w:type="fixed"/>
        <w:tblCellMar>
          <w:top w:w="0" w:type="dxa"/>
          <w:left w:w="108" w:type="dxa"/>
          <w:bottom w:w="0" w:type="dxa"/>
          <w:right w:w="108" w:type="dxa"/>
        </w:tblCellMar>
      </w:tblPr>
      <w:tblGrid>
        <w:gridCol w:w="883"/>
        <w:gridCol w:w="3510"/>
        <w:gridCol w:w="1300"/>
        <w:gridCol w:w="2050"/>
        <w:gridCol w:w="700"/>
      </w:tblGrid>
      <w:tr>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35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13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118" w:firstLineChars="4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满分分值</w:t>
            </w:r>
          </w:p>
        </w:tc>
        <w:tc>
          <w:tcPr>
            <w:tcW w:w="20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响应内容</w:t>
            </w:r>
          </w:p>
        </w:tc>
        <w:tc>
          <w:tcPr>
            <w:tcW w:w="7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页码</w:t>
            </w:r>
          </w:p>
        </w:tc>
      </w:tr>
      <w:tr>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351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p>
        </w:tc>
      </w:tr>
      <w:tr>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351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p>
        </w:tc>
      </w:tr>
      <w:tr>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351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p>
        </w:tc>
      </w:tr>
      <w:tr>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3510" w:type="dxa"/>
            <w:tcBorders>
              <w:top w:val="single" w:color="auto" w:sz="4" w:space="0"/>
              <w:left w:val="single" w:color="auto" w:sz="4" w:space="0"/>
              <w:bottom w:val="single" w:color="auto" w:sz="4" w:space="0"/>
              <w:right w:val="single" w:color="auto" w:sz="4" w:space="0"/>
            </w:tcBorders>
            <w:noWrap w:val="0"/>
            <w:vAlign w:val="top"/>
          </w:tcPr>
          <w:p>
            <w:pPr>
              <w:tabs>
                <w:tab w:val="left" w:pos="-1080"/>
                <w:tab w:val="left" w:pos="180"/>
                <w:tab w:val="left" w:pos="1080"/>
              </w:tabs>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r>
      <w:tr>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3510" w:type="dxa"/>
            <w:tcBorders>
              <w:top w:val="single" w:color="auto" w:sz="4" w:space="0"/>
              <w:left w:val="single" w:color="auto" w:sz="4" w:space="0"/>
              <w:bottom w:val="single" w:color="auto" w:sz="4" w:space="0"/>
              <w:right w:val="single" w:color="auto" w:sz="4" w:space="0"/>
            </w:tcBorders>
            <w:noWrap w:val="0"/>
            <w:vAlign w:val="top"/>
          </w:tcPr>
          <w:p>
            <w:pPr>
              <w:tabs>
                <w:tab w:val="left" w:pos="720"/>
              </w:tabs>
              <w:spacing w:line="360" w:lineRule="auto"/>
              <w:ind w:right="18"/>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pPr>
              <w:tabs>
                <w:tab w:val="left" w:pos="720"/>
              </w:tabs>
              <w:spacing w:line="360" w:lineRule="auto"/>
              <w:ind w:right="18"/>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pPr>
              <w:tabs>
                <w:tab w:val="left" w:pos="720"/>
              </w:tabs>
              <w:spacing w:line="360" w:lineRule="auto"/>
              <w:ind w:right="18"/>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pPr>
              <w:tabs>
                <w:tab w:val="left" w:pos="720"/>
              </w:tabs>
              <w:spacing w:line="360" w:lineRule="auto"/>
              <w:ind w:right="18"/>
              <w:jc w:val="center"/>
              <w:rPr>
                <w:rFonts w:hint="eastAsia" w:ascii="宋体" w:hAnsi="宋体" w:eastAsia="宋体" w:cs="宋体"/>
                <w:bCs/>
                <w:color w:val="auto"/>
                <w:sz w:val="24"/>
                <w:szCs w:val="24"/>
                <w:highlight w:val="none"/>
              </w:rPr>
            </w:pPr>
          </w:p>
        </w:tc>
      </w:tr>
    </w:tbl>
    <w:p>
      <w:pPr>
        <w:widowControl/>
        <w:spacing w:line="360" w:lineRule="auto"/>
        <w:rPr>
          <w:rFonts w:hint="eastAsia" w:ascii="宋体" w:hAnsi="宋体" w:eastAsia="宋体" w:cs="宋体"/>
          <w:color w:val="auto"/>
          <w:sz w:val="24"/>
          <w:szCs w:val="24"/>
          <w:highlight w:val="none"/>
        </w:rPr>
      </w:pPr>
    </w:p>
    <w:p>
      <w:pPr>
        <w:spacing w:line="360" w:lineRule="auto"/>
        <w:ind w:firstLine="480" w:firstLineChars="200"/>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pPr>
        <w:pStyle w:val="19"/>
        <w:spacing w:line="360" w:lineRule="auto"/>
        <w:jc w:val="center"/>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招标文件规定的价格扣除证明材料（若有）</w:t>
      </w:r>
    </w:p>
    <w:p>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1优先类节能产品、环境标志产品价格扣除证明材料（若有）</w:t>
      </w:r>
    </w:p>
    <w:p>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1-①优先类节能产品、环境标志产品统计表（价格扣除适用，若有）</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项目编号：</w:t>
      </w:r>
      <w:r>
        <w:rPr>
          <w:rFonts w:ascii="宋体" w:hAnsi="宋体" w:eastAsia="宋体" w:cs="宋体"/>
          <w:color w:val="auto"/>
          <w:sz w:val="24"/>
          <w:szCs w:val="24"/>
          <w:highlight w:val="none"/>
          <w:u w:val="single"/>
        </w:rPr>
        <w:t>　　　　　　　　</w:t>
      </w:r>
    </w:p>
    <w:p>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货币及单位：人民币元</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pPr>
              <w:pStyle w:val="19"/>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内属于节能产品的报价情况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pPr>
              <w:pStyle w:val="19"/>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1550" w:type="dxa"/>
            <w:noWrap w:val="0"/>
            <w:vAlign w:val="top"/>
          </w:tcPr>
          <w:p>
            <w:pPr>
              <w:spacing w:line="360" w:lineRule="auto"/>
              <w:rPr>
                <w:rFonts w:hint="eastAsia" w:ascii="宋体" w:hAnsi="宋体" w:eastAsia="宋体" w:cs="宋体"/>
                <w:color w:val="auto"/>
                <w:sz w:val="24"/>
                <w:szCs w:val="24"/>
                <w:highlight w:val="none"/>
              </w:rPr>
            </w:pPr>
          </w:p>
        </w:tc>
        <w:tc>
          <w:tcPr>
            <w:tcW w:w="2055" w:type="dxa"/>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pPr>
              <w:spacing w:line="360" w:lineRule="auto"/>
              <w:rPr>
                <w:rFonts w:hint="eastAsia" w:ascii="宋体" w:hAnsi="宋体" w:eastAsia="宋体" w:cs="宋体"/>
                <w:color w:val="auto"/>
                <w:sz w:val="24"/>
                <w:szCs w:val="24"/>
                <w:highlight w:val="none"/>
              </w:rPr>
            </w:pPr>
          </w:p>
        </w:tc>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1550" w:type="dxa"/>
            <w:noWrap w:val="0"/>
            <w:vAlign w:val="top"/>
          </w:tcPr>
          <w:p>
            <w:pPr>
              <w:spacing w:line="360" w:lineRule="auto"/>
              <w:rPr>
                <w:rFonts w:hint="eastAsia" w:ascii="宋体" w:hAnsi="宋体" w:eastAsia="宋体" w:cs="宋体"/>
                <w:color w:val="auto"/>
                <w:sz w:val="24"/>
                <w:szCs w:val="24"/>
                <w:highlight w:val="none"/>
              </w:rPr>
            </w:pPr>
          </w:p>
        </w:tc>
        <w:tc>
          <w:tcPr>
            <w:tcW w:w="2055" w:type="dxa"/>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pPr>
              <w:pStyle w:val="19"/>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内属于节能产品的报价总金额：</w:t>
            </w:r>
            <w:r>
              <w:rPr>
                <w:rFonts w:ascii="宋体" w:hAnsi="宋体" w:eastAsia="宋体" w:cs="宋体"/>
                <w:color w:val="auto"/>
                <w:sz w:val="24"/>
                <w:szCs w:val="24"/>
                <w:highlight w:val="none"/>
                <w:u w:val="single"/>
              </w:rPr>
              <w:t>　　　　　。</w:t>
            </w:r>
          </w:p>
        </w:tc>
      </w:tr>
    </w:tbl>
    <w:p>
      <w:pPr>
        <w:pStyle w:val="19"/>
        <w:spacing w:line="360" w:lineRule="auto"/>
        <w:ind w:firstLine="480"/>
        <w:jc w:val="left"/>
        <w:rPr>
          <w:rFonts w:ascii="宋体" w:hAnsi="宋体" w:eastAsia="宋体" w:cs="宋体"/>
          <w:color w:val="auto"/>
          <w:sz w:val="24"/>
          <w:szCs w:val="24"/>
          <w:highlight w:val="none"/>
        </w:rPr>
      </w:pP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pPr>
              <w:pStyle w:val="19"/>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内属于环境标志产品的报价情况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pPr>
              <w:pStyle w:val="19"/>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1550" w:type="dxa"/>
            <w:noWrap w:val="0"/>
            <w:vAlign w:val="top"/>
          </w:tcPr>
          <w:p>
            <w:pPr>
              <w:spacing w:line="360" w:lineRule="auto"/>
              <w:rPr>
                <w:rFonts w:hint="eastAsia" w:ascii="宋体" w:hAnsi="宋体" w:eastAsia="宋体" w:cs="宋体"/>
                <w:color w:val="auto"/>
                <w:sz w:val="24"/>
                <w:szCs w:val="24"/>
                <w:highlight w:val="none"/>
              </w:rPr>
            </w:pPr>
          </w:p>
        </w:tc>
        <w:tc>
          <w:tcPr>
            <w:tcW w:w="2055" w:type="dxa"/>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pPr>
              <w:spacing w:line="360" w:lineRule="auto"/>
              <w:rPr>
                <w:rFonts w:hint="eastAsia" w:ascii="宋体" w:hAnsi="宋体" w:eastAsia="宋体" w:cs="宋体"/>
                <w:color w:val="auto"/>
                <w:sz w:val="24"/>
                <w:szCs w:val="24"/>
                <w:highlight w:val="none"/>
              </w:rPr>
            </w:pPr>
          </w:p>
        </w:tc>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1187" w:type="dxa"/>
            <w:noWrap w:val="0"/>
            <w:vAlign w:val="top"/>
          </w:tcPr>
          <w:p>
            <w:pPr>
              <w:spacing w:line="360" w:lineRule="auto"/>
              <w:rPr>
                <w:rFonts w:hint="eastAsia" w:ascii="宋体" w:hAnsi="宋体" w:eastAsia="宋体" w:cs="宋体"/>
                <w:color w:val="auto"/>
                <w:sz w:val="24"/>
                <w:szCs w:val="24"/>
                <w:highlight w:val="none"/>
              </w:rPr>
            </w:pPr>
          </w:p>
        </w:tc>
        <w:tc>
          <w:tcPr>
            <w:tcW w:w="1550" w:type="dxa"/>
            <w:noWrap w:val="0"/>
            <w:vAlign w:val="top"/>
          </w:tcPr>
          <w:p>
            <w:pPr>
              <w:spacing w:line="360" w:lineRule="auto"/>
              <w:rPr>
                <w:rFonts w:hint="eastAsia" w:ascii="宋体" w:hAnsi="宋体" w:eastAsia="宋体" w:cs="宋体"/>
                <w:color w:val="auto"/>
                <w:sz w:val="24"/>
                <w:szCs w:val="24"/>
                <w:highlight w:val="none"/>
              </w:rPr>
            </w:pPr>
          </w:p>
        </w:tc>
        <w:tc>
          <w:tcPr>
            <w:tcW w:w="2055" w:type="dxa"/>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pPr>
              <w:pStyle w:val="19"/>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内属于环境标志产品的报价总金额：</w:t>
            </w:r>
            <w:r>
              <w:rPr>
                <w:rFonts w:ascii="宋体" w:hAnsi="宋体" w:eastAsia="宋体" w:cs="宋体"/>
                <w:color w:val="auto"/>
                <w:sz w:val="24"/>
                <w:szCs w:val="24"/>
                <w:highlight w:val="none"/>
                <w:u w:val="single"/>
              </w:rPr>
              <w:t>　　　　　。</w:t>
            </w:r>
          </w:p>
        </w:tc>
      </w:tr>
    </w:tbl>
    <w:p>
      <w:pPr>
        <w:pStyle w:val="19"/>
        <w:spacing w:line="360" w:lineRule="auto"/>
        <w:ind w:firstLine="480"/>
        <w:jc w:val="left"/>
        <w:rPr>
          <w:rFonts w:ascii="宋体" w:hAnsi="宋体" w:eastAsia="宋体" w:cs="宋体"/>
          <w:color w:val="auto"/>
          <w:sz w:val="24"/>
          <w:szCs w:val="24"/>
          <w:highlight w:val="none"/>
        </w:rPr>
      </w:pP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1、对节能、环境标志产品计算价格扣除时，只依据</w:t>
      </w:r>
      <w:r>
        <w:rPr>
          <w:rFonts w:hint="eastAsia" w:ascii="宋体" w:hAnsi="宋体" w:eastAsia="宋体" w:cs="宋体"/>
          <w:color w:val="auto"/>
          <w:sz w:val="24"/>
          <w:szCs w:val="24"/>
          <w:highlight w:val="none"/>
          <w:lang w:val="en-US" w:eastAsia="zh-CN"/>
        </w:rPr>
        <w:t>招标</w:t>
      </w:r>
      <w:r>
        <w:rPr>
          <w:rFonts w:ascii="宋体" w:hAnsi="宋体" w:eastAsia="宋体" w:cs="宋体"/>
          <w:color w:val="auto"/>
          <w:sz w:val="24"/>
          <w:szCs w:val="24"/>
          <w:highlight w:val="none"/>
        </w:rPr>
        <w:t>文件“</w:t>
      </w:r>
      <w:r>
        <w:rPr>
          <w:rFonts w:hint="eastAsia" w:ascii="宋体" w:hAnsi="宋体" w:eastAsia="宋体" w:cs="宋体"/>
          <w:color w:val="auto"/>
          <w:sz w:val="24"/>
          <w:szCs w:val="24"/>
          <w:highlight w:val="none"/>
        </w:rPr>
        <w:t>投标人须知前附表3：评标方法、评标标准、定标原则</w:t>
      </w:r>
      <w:r>
        <w:rPr>
          <w:rFonts w:ascii="宋体" w:hAnsi="宋体" w:eastAsia="宋体" w:cs="宋体"/>
          <w:color w:val="auto"/>
          <w:sz w:val="24"/>
          <w:szCs w:val="24"/>
          <w:highlight w:val="none"/>
        </w:rPr>
        <w:t>”。</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2、本表以</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为单位，不同</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请分别填写；同一</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请按照其品目号顺序分别填写。</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3、具体统计、计算：</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3.1</w:t>
      </w:r>
      <w:r>
        <w:rPr>
          <w:rFonts w:hint="eastAsia" w:ascii="宋体" w:hAnsi="宋体" w:eastAsia="宋体" w:cs="宋体"/>
          <w:color w:val="auto"/>
          <w:sz w:val="24"/>
          <w:szCs w:val="24"/>
          <w:highlight w:val="none"/>
        </w:rPr>
        <w:t>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3.2计算结果若除不尽，可四舍五入保留到小数点后两位。</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3.3投标人应按照招标文件要求认真统计、计算。</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3.4若无节能、环境标志产品，不填写本表。</w:t>
      </w:r>
    </w:p>
    <w:p>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p>
    <w:p>
      <w:pPr>
        <w:pStyle w:val="19"/>
        <w:spacing w:line="360" w:lineRule="auto"/>
        <w:jc w:val="left"/>
        <w:rPr>
          <w:rFonts w:ascii="宋体" w:hAnsi="宋体" w:eastAsia="宋体" w:cs="宋体"/>
          <w:color w:val="auto"/>
          <w:sz w:val="24"/>
          <w:szCs w:val="24"/>
          <w:highlight w:val="none"/>
        </w:rPr>
      </w:pPr>
    </w:p>
    <w:p>
      <w:pPr>
        <w:pStyle w:val="19"/>
        <w:spacing w:line="360" w:lineRule="auto"/>
        <w:jc w:val="left"/>
        <w:rPr>
          <w:rFonts w:ascii="宋体" w:hAnsi="宋体" w:eastAsia="宋体" w:cs="宋体"/>
          <w:color w:val="auto"/>
          <w:sz w:val="24"/>
          <w:szCs w:val="24"/>
          <w:highlight w:val="none"/>
        </w:rPr>
      </w:pPr>
    </w:p>
    <w:p>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1-②优先类节能产品、环境标志产品证明材料（价格扣除适用，若有）</w:t>
      </w:r>
    </w:p>
    <w:p>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2小型、微型企业产品等价格扣除证明材料（若有）</w:t>
      </w:r>
    </w:p>
    <w:p>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2-①中小企业声明函（价格扣除适用，若有）</w:t>
      </w:r>
    </w:p>
    <w:p>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中小企业声明函（货物）</w:t>
      </w:r>
    </w:p>
    <w:p>
      <w:pPr>
        <w:pStyle w:val="19"/>
        <w:spacing w:line="360" w:lineRule="auto"/>
        <w:ind w:firstLine="480"/>
        <w:jc w:val="left"/>
        <w:rPr>
          <w:rFonts w:ascii="宋体" w:hAnsi="宋体" w:eastAsia="宋体" w:cs="宋体"/>
          <w:color w:val="auto"/>
          <w:sz w:val="24"/>
          <w:szCs w:val="24"/>
          <w:highlight w:val="none"/>
        </w:rPr>
      </w:pP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采购活动，提供的货物全部由符合政策要求的中小企业制造。相关企业（含联合体中的中小企业、签订分包意向协议的中小企业）的具体情况如下：</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中小企业声明函（工程、服务）</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2-②小型、微型企业等证明材料（价格扣除适用，若有）</w:t>
      </w:r>
    </w:p>
    <w:p>
      <w:pPr>
        <w:pStyle w:val="19"/>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1、投标人应按照招标文件要求提供相应证明材料，证明材料应与《中小企业声明函》的内容相一致，否则视为《中小企业声明函》内容不真实。</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2、投标人为监狱企业的，根据其提供的由省级以上监狱管理局、戒毒管理局（含新疆生产建设兵团）出具的属于监狱企业的证明文件进行认定，监狱企业视同小型、微型企业。</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3、投标人为残疾人福利性单位的，根据其提供的《残疾人福利性单位声明函》（格式附后）进行认定，残疾人福利性单位视同小型、微型企业。残疾人福利性单位属于小型、微型企业的，不重复享受政策。</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残疾人福利性单位声明函（价格扣除适用，若有）</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）由本投标人承建的（填写“所投采购包、品目号”）工程</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）由本投标人承接的（填写“所投采购包、品目号”）服务；</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本投标人对上述声明的真实性负责。如有虚假，将依法承担相应责任。</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备注：</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1、请投标人按照实际情况编制填写本声明函，并在相应的（）中打“√”。</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2、若《残疾人福利性单位声明函》内容不真实，视为提供虚假材料。</w:t>
      </w:r>
    </w:p>
    <w:p>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监狱企业证明材料</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投标人为监狱企业，提供本单位制造的货物（承接的服务），并在投标文件中提供省级以上监狱管理局、戒毒管理局（含新疆生产建设兵团）出具的属于监狱企业的证明文件。</w:t>
      </w:r>
    </w:p>
    <w:p>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3招标文件规定的其他价格扣除证明材料（若有）</w:t>
      </w:r>
    </w:p>
    <w:p>
      <w:pPr>
        <w:pStyle w:val="19"/>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若投标人可享受招标文件规定的除“节能（非强制类）、环境标志产品价格扣除”及“小型、微型企业产品等价格扣除”外的其他价格扣除优惠，则投标人应按照招标文件要求提供相应证明材料。</w:t>
      </w:r>
    </w:p>
    <w:p>
      <w:pPr>
        <w:spacing w:line="360" w:lineRule="auto"/>
        <w:rPr>
          <w:rFonts w:hint="eastAsia" w:ascii="宋体" w:hAnsi="宋体" w:eastAsia="宋体" w:cs="宋体"/>
          <w:color w:val="auto"/>
          <w:sz w:val="24"/>
          <w:szCs w:val="24"/>
          <w:highlight w:val="none"/>
          <w:lang w:eastAsia="zh-CN"/>
        </w:rPr>
      </w:pPr>
    </w:p>
    <w:p>
      <w:pPr>
        <w:spacing w:line="360" w:lineRule="auto"/>
        <w:rPr>
          <w:rFonts w:hint="eastAsia" w:ascii="宋体" w:hAnsi="宋体" w:eastAsia="宋体" w:cs="宋体"/>
          <w:color w:val="auto"/>
          <w:kern w:val="0"/>
          <w:sz w:val="24"/>
          <w:szCs w:val="24"/>
          <w:highlight w:val="none"/>
          <w:lang w:eastAsia="zh-CN"/>
        </w:rPr>
      </w:pPr>
    </w:p>
    <w:p>
      <w:pPr>
        <w:spacing w:line="360" w:lineRule="auto"/>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ascii="宋体" w:hAnsi="宋体" w:eastAsia="宋体" w:cs="宋体"/>
          <w:color w:val="auto"/>
          <w:kern w:val="0"/>
          <w:sz w:val="24"/>
          <w:szCs w:val="24"/>
          <w:highlight w:val="none"/>
          <w:lang w:eastAsia="zh-CN"/>
        </w:rPr>
      </w:pPr>
    </w:p>
    <w:p>
      <w:pPr>
        <w:pStyle w:val="11"/>
        <w:rPr>
          <w:rFonts w:hint="eastAsia" w:ascii="宋体" w:hAnsi="宋体" w:eastAsia="宋体" w:cs="宋体"/>
          <w:color w:val="auto"/>
          <w:kern w:val="0"/>
          <w:sz w:val="24"/>
          <w:szCs w:val="24"/>
          <w:highlight w:val="none"/>
          <w:lang w:eastAsia="zh-CN"/>
        </w:rPr>
      </w:pPr>
    </w:p>
    <w:p>
      <w:pPr>
        <w:rPr>
          <w:rFonts w:hint="eastAsia"/>
          <w:color w:val="auto"/>
          <w:highlight w:val="none"/>
          <w:lang w:eastAsia="zh-CN"/>
        </w:rPr>
      </w:pPr>
    </w:p>
    <w:p>
      <w:pPr>
        <w:spacing w:line="360" w:lineRule="auto"/>
        <w:rPr>
          <w:rFonts w:hint="eastAsia" w:ascii="宋体" w:hAnsi="宋体" w:eastAsia="宋体" w:cs="宋体"/>
          <w:color w:val="auto"/>
          <w:kern w:val="0"/>
          <w:sz w:val="24"/>
          <w:szCs w:val="24"/>
          <w:highlight w:val="none"/>
          <w:lang w:eastAsia="zh-CN"/>
        </w:rPr>
      </w:pPr>
    </w:p>
    <w:p>
      <w:pPr>
        <w:pStyle w:val="4"/>
        <w:numPr>
          <w:ilvl w:val="1"/>
          <w:numId w:val="0"/>
        </w:numPr>
        <w:tabs>
          <w:tab w:val="left" w:pos="576"/>
        </w:tabs>
        <w:spacing w:before="0" w:after="0" w:line="360" w:lineRule="auto"/>
        <w:jc w:val="center"/>
        <w:rPr>
          <w:rFonts w:hint="default" w:ascii="宋体" w:hAnsi="宋体" w:eastAsia="宋体" w:cs="宋体"/>
          <w:color w:val="auto"/>
          <w:sz w:val="36"/>
          <w:szCs w:val="36"/>
          <w:highlight w:val="none"/>
        </w:rPr>
      </w:pPr>
      <w:r>
        <w:rPr>
          <w:rFonts w:hint="eastAsia" w:ascii="宋体" w:hAnsi="宋体" w:eastAsia="宋体" w:cs="宋体"/>
          <w:color w:val="auto"/>
          <w:sz w:val="36"/>
          <w:szCs w:val="36"/>
          <w:highlight w:val="none"/>
        </w:rPr>
        <w:t>联合体协议书</w:t>
      </w:r>
      <w:r>
        <w:rPr>
          <w:rFonts w:hint="eastAsia" w:ascii="宋体" w:hAnsi="宋体" w:eastAsia="宋体" w:cs="宋体"/>
          <w:color w:val="auto"/>
          <w:sz w:val="36"/>
          <w:szCs w:val="36"/>
          <w:highlight w:val="none"/>
          <w:lang w:eastAsia="zh-CN"/>
        </w:rPr>
        <w:t>（</w:t>
      </w:r>
      <w:r>
        <w:rPr>
          <w:rFonts w:hint="eastAsia" w:ascii="宋体" w:hAnsi="宋体" w:eastAsia="宋体" w:cs="宋体"/>
          <w:color w:val="auto"/>
          <w:sz w:val="36"/>
          <w:szCs w:val="36"/>
          <w:highlight w:val="none"/>
          <w:lang w:val="en-US" w:eastAsia="zh-CN"/>
        </w:rPr>
        <w:t>若有）</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（所有成员单位名称）自愿组成</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联合体，共同参加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（项目名称）项目投标。现就联合体投标事宜订立如下协议。</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（某成员单位名称）为</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联合体牵头人。</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2.联合体各成员授权牵头人代表联合体参加投标活动，签署文件，提交和接收相关的资料、信息及指示，进行合同谈判活动，负责合同实施阶段的组织和协调工作，以及处理与本招标项目有关的一切事宜。</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3.联合体牵头人在本项目中签署的一切文件和处理的一切事宜，联合体各成员均予以承认。联合体各成员将严格按照招标文件、投标文件和合同的要求全面履行义务，并向</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承担连带责任。</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联合体各成员单位内部的职责分工如下:</w:t>
      </w:r>
    </w:p>
    <w:p>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u w:val="single"/>
        </w:rPr>
        <w:t xml:space="preserve">                                                            ;</w:t>
      </w:r>
    </w:p>
    <w:p>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p>
    <w:p>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5.本协议书自所有成员单位法定代表人（单位负责人）或其委托代理人签字，并盖单位章之日起生效，合同履行完毕后自动失效。</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6.本协议书一式【】份，联合体成员和</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各执一份。</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注：由委托代理人签字的，应附授权委托书。</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联合体牵头人名称：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bookmarkStart w:id="14" w:name="_GoBack"/>
      <w:bookmarkEnd w:id="14"/>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pPr>
        <w:widowControl/>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日</w:t>
      </w:r>
    </w:p>
    <w:p>
      <w:pPr>
        <w:pStyle w:val="11"/>
        <w:ind w:left="0" w:leftChars="0" w:firstLine="0" w:firstLineChars="0"/>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p>
    <w:p>
      <w:pPr>
        <w:rPr>
          <w:color w:val="auto"/>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460"/>
        <w:tab w:val="clear" w:pos="8306"/>
      </w:tabs>
      <w:ind w:right="-89" w:firstLine="420"/>
      <w:jc w:val="center"/>
      <w:rPr>
        <w:rFonts w:ascii="宋体" w:hAnsi="宋体"/>
      </w:rPr>
    </w:pPr>
    <w:r>
      <w:rPr>
        <w:rFonts w:ascii="宋体" w:hAnsi="宋体"/>
        <w:szCs w:val="20"/>
      </w:rPr>
      <w:t xml:space="preserve"> 2-</w:t>
    </w:r>
    <w:r>
      <w:rPr>
        <w:rStyle w:val="15"/>
        <w:rFonts w:ascii="宋体" w:hAnsi="宋体"/>
        <w:szCs w:val="20"/>
      </w:rPr>
      <w:t>2-</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1</w:t>
    </w:r>
    <w:r>
      <w:rPr>
        <w:rFonts w:ascii="宋体" w:hAnsi="宋体"/>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460"/>
        <w:tab w:val="clear" w:pos="8306"/>
      </w:tabs>
      <w:ind w:right="-89" w:firstLine="420"/>
      <w:jc w:val="center"/>
      <w:rPr>
        <w:rFonts w:ascii="宋体" w:hAnsi="宋体"/>
      </w:rPr>
    </w:pPr>
    <w:r>
      <w:rPr>
        <w:rFonts w:ascii="宋体" w:hAnsi="宋体"/>
      </w:rPr>
      <w:t xml:space="preserve"> 5</w:t>
    </w:r>
    <w:r>
      <w:rPr>
        <w:rStyle w:val="15"/>
        <w:rFonts w:ascii="宋体" w:hAnsi="宋体"/>
      </w:rPr>
      <w:t>-</w:t>
    </w:r>
    <w:r>
      <w:rPr>
        <w:rFonts w:ascii="宋体" w:hAnsi="宋体"/>
      </w:rPr>
      <w:fldChar w:fldCharType="begin"/>
    </w:r>
    <w:r>
      <w:rPr>
        <w:rStyle w:val="15"/>
        <w:rFonts w:ascii="宋体" w:hAnsi="宋体"/>
      </w:rPr>
      <w:instrText xml:space="preserve"> PAGE </w:instrText>
    </w:r>
    <w:r>
      <w:rPr>
        <w:rFonts w:ascii="宋体" w:hAnsi="宋体"/>
      </w:rPr>
      <w:fldChar w:fldCharType="separate"/>
    </w:r>
    <w:r>
      <w:rPr>
        <w:rStyle w:val="15"/>
        <w:rFonts w:ascii="宋体" w:hAnsi="宋体"/>
      </w:rPr>
      <w:t>20</w:t>
    </w:r>
    <w:r>
      <w:rPr>
        <w:rFonts w:ascii="宋体"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460"/>
        <w:tab w:val="clear" w:pos="8306"/>
      </w:tabs>
      <w:ind w:right="-89" w:firstLine="420"/>
      <w:jc w:val="center"/>
      <w:rPr>
        <w:rFonts w:ascii="宋体" w:hAnsi="宋体"/>
      </w:rPr>
    </w:pPr>
    <w:r>
      <w:rPr>
        <w:rFonts w:ascii="宋体" w:hAnsi="宋体"/>
        <w:szCs w:val="20"/>
      </w:rPr>
      <w:t xml:space="preserve"> 5-</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43</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NmU3YTlmZGFlMzU1NDBlYjZhNTZjNTM2MmEyNGIifQ=="/>
  </w:docVars>
  <w:rsids>
    <w:rsidRoot w:val="00000000"/>
    <w:rsid w:val="0A83110A"/>
    <w:rsid w:val="0B022976"/>
    <w:rsid w:val="1B682381"/>
    <w:rsid w:val="624511ED"/>
    <w:rsid w:val="76AF14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spacing w:after="120"/>
      <w:ind w:firstLine="420" w:firstLineChars="100"/>
      <w:jc w:val="both"/>
    </w:pPr>
    <w:rPr>
      <w:rFonts w:ascii="Times New Roman" w:hAnsi="Times New Roman" w:eastAsia="宋体"/>
      <w:b w:val="0"/>
      <w:bCs w:val="0"/>
      <w:kern w:val="2"/>
      <w:sz w:val="21"/>
      <w:szCs w:val="24"/>
    </w:rPr>
  </w:style>
  <w:style w:type="paragraph" w:styleId="3">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5">
    <w:name w:val="Normal Indent"/>
    <w:basedOn w:val="1"/>
    <w:qFormat/>
    <w:uiPriority w:val="0"/>
    <w:pPr>
      <w:ind w:firstLine="420"/>
    </w:pPr>
    <w:rPr>
      <w:rFonts w:ascii="Times New Roman" w:hAnsi="Times New Roman"/>
      <w:szCs w:val="20"/>
    </w:rPr>
  </w:style>
  <w:style w:type="paragraph" w:styleId="6">
    <w:name w:val="Body Text Indent"/>
    <w:basedOn w:val="1"/>
    <w:next w:val="1"/>
    <w:qFormat/>
    <w:uiPriority w:val="0"/>
    <w:pPr>
      <w:ind w:left="420" w:leftChars="200"/>
    </w:pPr>
  </w:style>
  <w:style w:type="paragraph" w:styleId="7">
    <w:name w:val="Plain Text"/>
    <w:basedOn w:val="1"/>
    <w:qFormat/>
    <w:uiPriority w:val="0"/>
    <w:rPr>
      <w:rFonts w:ascii="宋体" w:hAnsi="Courier New"/>
      <w:szCs w:val="20"/>
    </w:rPr>
  </w:style>
  <w:style w:type="paragraph" w:styleId="8">
    <w:name w:val="footer"/>
    <w:basedOn w:val="1"/>
    <w:unhideWhenUsed/>
    <w:qFormat/>
    <w:uiPriority w:val="0"/>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1">
    <w:name w:val="Body Text First Indent 2"/>
    <w:basedOn w:val="6"/>
    <w:next w:val="1"/>
    <w:qFormat/>
    <w:uiPriority w:val="0"/>
    <w:pPr>
      <w:ind w:firstLine="420" w:firstLineChars="200"/>
    </w:pPr>
  </w:style>
  <w:style w:type="character" w:styleId="14">
    <w:name w:val="Strong"/>
    <w:basedOn w:val="13"/>
    <w:qFormat/>
    <w:uiPriority w:val="22"/>
    <w:rPr>
      <w:b/>
      <w:bCs/>
    </w:rPr>
  </w:style>
  <w:style w:type="character" w:styleId="15">
    <w:name w:val="page number"/>
    <w:basedOn w:val="13"/>
    <w:qFormat/>
    <w:uiPriority w:val="0"/>
  </w:style>
  <w:style w:type="character" w:styleId="16">
    <w:name w:val="Hyperlink"/>
    <w:basedOn w:val="13"/>
    <w:unhideWhenUsed/>
    <w:qFormat/>
    <w:uiPriority w:val="99"/>
    <w:rPr>
      <w:color w:val="0000FF"/>
      <w:u w:val="single"/>
    </w:rPr>
  </w:style>
  <w:style w:type="paragraph" w:customStyle="1" w:styleId="17">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8">
    <w:name w:val="样式3"/>
    <w:basedOn w:val="7"/>
    <w:autoRedefine/>
    <w:qFormat/>
    <w:uiPriority w:val="0"/>
    <w:pPr>
      <w:spacing w:line="0" w:lineRule="atLeast"/>
      <w:outlineLvl w:val="0"/>
    </w:pPr>
    <w:rPr>
      <w:sz w:val="28"/>
    </w:rPr>
  </w:style>
  <w:style w:type="paragraph" w:customStyle="1" w:styleId="19">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62</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2024-07-05T03:12:22Z</dcterms:created>
  <dc:creator>user</dc:creator>
  <cp:lastModifiedBy>Richael</cp:lastModifiedBy>
  <dcterms:modified xsi:type="dcterms:W3CDTF">2024-07-05T03:13:11Z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D7197CCDE8344CC69D6A27369041EAEE_12</vt:lpwstr>
  </property>
</Properties>
</file>